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38D70DE" w:rsidR="00E90E49" w:rsidRPr="00D116DB" w:rsidRDefault="00E90E49" w:rsidP="00E35559">
      <w:pPr>
        <w:pStyle w:val="3GPPHeader"/>
        <w:spacing w:after="60"/>
        <w:rPr>
          <w:sz w:val="32"/>
          <w:szCs w:val="32"/>
        </w:rPr>
      </w:pPr>
      <w:r w:rsidRPr="00D116DB">
        <w:t>3GPP TSG-RAN WG</w:t>
      </w:r>
      <w:r w:rsidR="008F1C4E" w:rsidRPr="00D116DB">
        <w:t>1</w:t>
      </w:r>
      <w:r w:rsidRPr="00D116DB">
        <w:t xml:space="preserve"> </w:t>
      </w:r>
      <w:r w:rsidR="008F1C4E" w:rsidRPr="00D116DB">
        <w:t xml:space="preserve">Meeting </w:t>
      </w:r>
      <w:r w:rsidRPr="00D116DB">
        <w:t>#</w:t>
      </w:r>
      <w:r w:rsidR="004B5701" w:rsidRPr="00D116DB">
        <w:t>10</w:t>
      </w:r>
      <w:r w:rsidR="00703076" w:rsidRPr="00D116DB">
        <w:t>6</w:t>
      </w:r>
      <w:r w:rsidR="006A1959" w:rsidRPr="00D116DB">
        <w:t>bis-</w:t>
      </w:r>
      <w:r w:rsidR="004B5701" w:rsidRPr="00D116DB">
        <w:t>e</w:t>
      </w:r>
      <w:r w:rsidRPr="00D116DB">
        <w:tab/>
      </w:r>
      <w:r w:rsidR="00091557" w:rsidRPr="00D116DB">
        <w:rPr>
          <w:sz w:val="32"/>
          <w:szCs w:val="32"/>
        </w:rPr>
        <w:t>R</w:t>
      </w:r>
      <w:r w:rsidR="008F1C4E" w:rsidRPr="00D116DB">
        <w:rPr>
          <w:sz w:val="32"/>
          <w:szCs w:val="32"/>
        </w:rPr>
        <w:t>1</w:t>
      </w:r>
      <w:r w:rsidR="00091557" w:rsidRPr="00D116DB">
        <w:rPr>
          <w:sz w:val="32"/>
          <w:szCs w:val="32"/>
        </w:rPr>
        <w:t>-</w:t>
      </w:r>
      <w:r w:rsidR="004B5701" w:rsidRPr="00D116DB">
        <w:rPr>
          <w:sz w:val="32"/>
          <w:szCs w:val="32"/>
        </w:rPr>
        <w:t>21</w:t>
      </w:r>
      <w:r w:rsidR="00D116DB" w:rsidRPr="00D116DB">
        <w:rPr>
          <w:sz w:val="32"/>
          <w:szCs w:val="32"/>
        </w:rPr>
        <w:t>08823</w:t>
      </w:r>
    </w:p>
    <w:p w14:paraId="0CE7B7E6" w14:textId="3A3A2231" w:rsidR="00E90E49" w:rsidRPr="00CE0424" w:rsidRDefault="004B5701" w:rsidP="00311702">
      <w:pPr>
        <w:pStyle w:val="3GPPHeader"/>
      </w:pPr>
      <w:r w:rsidRPr="004B5701">
        <w:t xml:space="preserve">e-Meeting, </w:t>
      </w:r>
      <w:r w:rsidR="000542EC">
        <w:rPr>
          <w:lang w:val="en-GB"/>
        </w:rPr>
        <w:t>1</w:t>
      </w:r>
      <w:r w:rsidR="006A1959">
        <w:rPr>
          <w:lang w:val="en-GB"/>
        </w:rPr>
        <w:t>1</w:t>
      </w:r>
      <w:r w:rsidR="000542EC">
        <w:rPr>
          <w:vertAlign w:val="superscript"/>
          <w:lang w:val="en-GB"/>
        </w:rPr>
        <w:t>th</w:t>
      </w:r>
      <w:r w:rsidR="000542EC">
        <w:rPr>
          <w:lang w:val="en-GB"/>
        </w:rPr>
        <w:t xml:space="preserve"> – </w:t>
      </w:r>
      <w:r w:rsidR="006A1959">
        <w:rPr>
          <w:lang w:val="en-GB"/>
        </w:rPr>
        <w:t>19</w:t>
      </w:r>
      <w:r w:rsidR="000542EC">
        <w:rPr>
          <w:vertAlign w:val="superscript"/>
          <w:lang w:val="en-GB"/>
        </w:rPr>
        <w:t>th</w:t>
      </w:r>
      <w:r w:rsidR="000542EC">
        <w:rPr>
          <w:lang w:val="en-GB"/>
        </w:rPr>
        <w:t xml:space="preserve"> </w:t>
      </w:r>
      <w:r w:rsidR="006A1959">
        <w:rPr>
          <w:lang w:val="en-GB"/>
        </w:rPr>
        <w:t>October</w:t>
      </w:r>
      <w:r w:rsidR="000542EC">
        <w:rPr>
          <w:lang w:val="en-GB"/>
        </w:rPr>
        <w:t xml:space="preserve"> 2021</w:t>
      </w:r>
    </w:p>
    <w:p w14:paraId="3086AC07" w14:textId="77777777" w:rsidR="00E90E49" w:rsidRPr="00CE0424" w:rsidRDefault="00E90E49" w:rsidP="00357380">
      <w:pPr>
        <w:pStyle w:val="3GPPHeader"/>
      </w:pPr>
    </w:p>
    <w:p w14:paraId="3982483C" w14:textId="16487377"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CA4366" w:rsidRPr="00EA6767">
        <w:rPr>
          <w:sz w:val="22"/>
        </w:rPr>
        <w:t>6</w:t>
      </w:r>
      <w:r w:rsidR="00311702" w:rsidRPr="00EA6767">
        <w:rPr>
          <w:sz w:val="22"/>
        </w:rPr>
        <w:t>.</w:t>
      </w:r>
      <w:r w:rsidR="00E95143">
        <w:rPr>
          <w:sz w:val="22"/>
        </w:rPr>
        <w:t>2</w:t>
      </w:r>
    </w:p>
    <w:p w14:paraId="5619E868" w14:textId="1F7B284D"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9B678FC" w:rsidR="00E90E49" w:rsidRPr="00CE0424" w:rsidRDefault="003D3C45" w:rsidP="00311702">
      <w:pPr>
        <w:pStyle w:val="3GPPHeader"/>
        <w:rPr>
          <w:sz w:val="22"/>
        </w:rPr>
      </w:pPr>
      <w:r>
        <w:rPr>
          <w:sz w:val="22"/>
        </w:rPr>
        <w:t>Title:</w:t>
      </w:r>
      <w:r w:rsidR="00E90E49" w:rsidRPr="00CE0424">
        <w:rPr>
          <w:sz w:val="22"/>
        </w:rPr>
        <w:tab/>
      </w:r>
      <w:r w:rsidR="00E95143" w:rsidRPr="00E95143">
        <w:rPr>
          <w:sz w:val="22"/>
        </w:rPr>
        <w:t>RAN1 aspects for RAN2-led features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11F45A3D" w14:textId="4600CF3A" w:rsidR="009C2813" w:rsidRDefault="00653F73" w:rsidP="00653F73">
      <w:pPr>
        <w:pStyle w:val="BodyText"/>
        <w:rPr>
          <w:rFonts w:cs="Arial"/>
        </w:rPr>
      </w:pPr>
      <w:bookmarkStart w:id="0" w:name="_Toc67770514"/>
      <w:bookmarkEnd w:id="0"/>
      <w:r w:rsidRPr="00653F73">
        <w:rPr>
          <w:rFonts w:cs="Arial"/>
        </w:rPr>
        <w:t xml:space="preserve">In this contribution, we discuss the RAN1 aspects related to the following RAN2-led features for RedCap </w:t>
      </w:r>
      <w:r w:rsidR="00972367">
        <w:rPr>
          <w:rFonts w:cs="Arial"/>
        </w:rPr>
        <w:fldChar w:fldCharType="begin"/>
      </w:r>
      <w:r w:rsidR="00972367">
        <w:rPr>
          <w:rFonts w:cs="Arial"/>
        </w:rPr>
        <w:instrText xml:space="preserve"> REF _Ref71040330 \r \h </w:instrText>
      </w:r>
      <w:r w:rsidR="00972367">
        <w:rPr>
          <w:rFonts w:cs="Arial"/>
        </w:rPr>
      </w:r>
      <w:r w:rsidR="00972367">
        <w:rPr>
          <w:rFonts w:cs="Arial"/>
        </w:rPr>
        <w:fldChar w:fldCharType="separate"/>
      </w:r>
      <w:r w:rsidR="00972367">
        <w:rPr>
          <w:rFonts w:cs="Arial"/>
        </w:rPr>
        <w:t>[1]</w:t>
      </w:r>
      <w:r w:rsidR="00972367">
        <w:rPr>
          <w:rFonts w:cs="Arial"/>
        </w:rPr>
        <w:fldChar w:fldCharType="end"/>
      </w:r>
      <w:r w:rsidRPr="00653F73">
        <w:rPr>
          <w:rFonts w:cs="Arial"/>
        </w:rPr>
        <w:t>:</w:t>
      </w:r>
    </w:p>
    <w:tbl>
      <w:tblPr>
        <w:tblStyle w:val="TableGrid"/>
        <w:tblW w:w="0" w:type="auto"/>
        <w:tblLook w:val="04A0" w:firstRow="1" w:lastRow="0" w:firstColumn="1" w:lastColumn="0" w:noHBand="0" w:noVBand="1"/>
      </w:tblPr>
      <w:tblGrid>
        <w:gridCol w:w="9629"/>
      </w:tblGrid>
      <w:tr w:rsidR="009C2813" w:rsidRPr="00653F73" w14:paraId="5A21A5B6" w14:textId="77777777" w:rsidTr="0034597E">
        <w:tc>
          <w:tcPr>
            <w:tcW w:w="9629" w:type="dxa"/>
          </w:tcPr>
          <w:p w14:paraId="1EE9E2AF" w14:textId="77777777" w:rsidR="009C2813" w:rsidRPr="00653F73" w:rsidRDefault="009C2813" w:rsidP="0034597E">
            <w:pPr>
              <w:pStyle w:val="B1"/>
              <w:numPr>
                <w:ilvl w:val="0"/>
                <w:numId w:val="13"/>
              </w:numPr>
              <w:overflowPunct w:val="0"/>
              <w:autoSpaceDE w:val="0"/>
              <w:autoSpaceDN w:val="0"/>
              <w:adjustRightInd w:val="0"/>
              <w:spacing w:after="180" w:line="240" w:lineRule="auto"/>
              <w:textAlignment w:val="baseline"/>
              <w:rPr>
                <w:rFonts w:ascii="Arial" w:eastAsia="SimSun" w:hAnsi="Arial" w:cs="Arial"/>
                <w:sz w:val="20"/>
                <w:szCs w:val="20"/>
                <w:lang w:val="en-GB" w:eastAsia="ja-JP"/>
              </w:rPr>
            </w:pPr>
            <w:r w:rsidRPr="00653F73">
              <w:rPr>
                <w:rFonts w:ascii="Arial" w:eastAsia="SimSun" w:hAnsi="Arial" w:cs="Arial"/>
                <w:sz w:val="20"/>
                <w:szCs w:val="20"/>
                <w:lang w:val="en-GB" w:eastAsia="ja-JP"/>
              </w:rPr>
              <w:t xml:space="preserve">Specify definition of one RedCap UE type including capabilities for RedCap UE identification and for constraining the use of those RedCap capabilities only for RedCap </w:t>
            </w:r>
            <w:proofErr w:type="gramStart"/>
            <w:r w:rsidRPr="00653F73">
              <w:rPr>
                <w:rFonts w:ascii="Arial" w:eastAsia="SimSun" w:hAnsi="Arial" w:cs="Arial"/>
                <w:sz w:val="20"/>
                <w:szCs w:val="20"/>
                <w:lang w:val="en-GB" w:eastAsia="ja-JP"/>
              </w:rPr>
              <w:t>UEs, and</w:t>
            </w:r>
            <w:proofErr w:type="gramEnd"/>
            <w:r w:rsidRPr="00653F73">
              <w:rPr>
                <w:rFonts w:ascii="Arial" w:eastAsia="SimSun" w:hAnsi="Arial" w:cs="Arial"/>
                <w:sz w:val="20"/>
                <w:szCs w:val="20"/>
                <w:lang w:val="en-GB" w:eastAsia="ja-JP"/>
              </w:rPr>
              <w:t xml:space="preserve"> preventing RedCap UEs from using capabilities not intended for RedCap UEs including at least carrier aggregation, dual connectivity and wider bandwidths. [RAN2, RAN1]</w:t>
            </w:r>
          </w:p>
          <w:p w14:paraId="0DAA1E48" w14:textId="77777777" w:rsidR="009C2813" w:rsidRPr="00653F73" w:rsidRDefault="009C2813" w:rsidP="0034597E">
            <w:pPr>
              <w:pStyle w:val="B1"/>
              <w:numPr>
                <w:ilvl w:val="1"/>
                <w:numId w:val="13"/>
              </w:numPr>
              <w:overflowPunct w:val="0"/>
              <w:autoSpaceDE w:val="0"/>
              <w:autoSpaceDN w:val="0"/>
              <w:adjustRightInd w:val="0"/>
              <w:spacing w:after="180" w:line="240" w:lineRule="auto"/>
              <w:textAlignment w:val="baseline"/>
              <w:rPr>
                <w:rFonts w:ascii="Arial" w:eastAsia="SimSun" w:hAnsi="Arial" w:cs="Arial"/>
                <w:sz w:val="20"/>
                <w:szCs w:val="20"/>
                <w:lang w:val="en-GB" w:eastAsia="ja-JP"/>
              </w:rPr>
            </w:pPr>
            <w:r w:rsidRPr="00653F73">
              <w:rPr>
                <w:rFonts w:ascii="Arial" w:eastAsia="SimSun" w:hAnsi="Arial" w:cs="Arial"/>
                <w:sz w:val="20"/>
                <w:szCs w:val="20"/>
                <w:lang w:val="en-GB" w:eastAsia="ja-JP"/>
              </w:rPr>
              <w:t>The existing UE capability framework is used; changes to capability signalling are specified only if necessary.</w:t>
            </w:r>
          </w:p>
          <w:p w14:paraId="5258674D" w14:textId="77777777" w:rsidR="009C2813" w:rsidRPr="00653F73" w:rsidRDefault="009C2813" w:rsidP="0034597E">
            <w:pPr>
              <w:pStyle w:val="B1"/>
              <w:numPr>
                <w:ilvl w:val="0"/>
                <w:numId w:val="13"/>
              </w:numPr>
              <w:overflowPunct w:val="0"/>
              <w:autoSpaceDE w:val="0"/>
              <w:autoSpaceDN w:val="0"/>
              <w:adjustRightInd w:val="0"/>
              <w:spacing w:after="180" w:line="240" w:lineRule="auto"/>
              <w:textAlignment w:val="baseline"/>
              <w:rPr>
                <w:rFonts w:ascii="Arial" w:eastAsia="SimSun" w:hAnsi="Arial" w:cs="Arial"/>
                <w:sz w:val="20"/>
                <w:szCs w:val="20"/>
                <w:lang w:val="en-GB" w:eastAsia="ja-JP"/>
              </w:rPr>
            </w:pPr>
            <w:r w:rsidRPr="00653F73">
              <w:rPr>
                <w:rFonts w:ascii="Arial" w:eastAsia="SimSun" w:hAnsi="Arial" w:cs="Arial"/>
                <w:sz w:val="20"/>
                <w:szCs w:val="20"/>
                <w:lang w:val="en-GB" w:eastAsia="ja-JP"/>
              </w:rPr>
              <w:t xml:space="preserve">Specify functionality that will enable RedCap UEs to be explicitly identifiable to networks through an early indication in Msg1 and/or Msg3, and MsgA if supported, </w:t>
            </w:r>
            <w:bookmarkStart w:id="1" w:name="_Hlk71104865"/>
            <w:r w:rsidRPr="00653F73">
              <w:rPr>
                <w:rFonts w:ascii="Arial" w:eastAsia="SimSun" w:hAnsi="Arial" w:cs="Arial"/>
                <w:sz w:val="20"/>
                <w:szCs w:val="20"/>
                <w:lang w:val="en-GB" w:eastAsia="ja-JP"/>
              </w:rPr>
              <w:t>including the ability for the early indication to be configurable by the network.</w:t>
            </w:r>
            <w:bookmarkEnd w:id="1"/>
            <w:r w:rsidRPr="00653F73">
              <w:rPr>
                <w:rFonts w:ascii="Arial" w:eastAsia="SimSun" w:hAnsi="Arial" w:cs="Arial"/>
                <w:sz w:val="20"/>
                <w:szCs w:val="20"/>
                <w:lang w:val="en-GB" w:eastAsia="ja-JP"/>
              </w:rPr>
              <w:t xml:space="preserve"> [RAN2, RAN1]</w:t>
            </w:r>
          </w:p>
          <w:p w14:paraId="247FE930" w14:textId="77777777" w:rsidR="009C2813" w:rsidRPr="00653F73" w:rsidRDefault="009C2813" w:rsidP="0034597E">
            <w:pPr>
              <w:pStyle w:val="B1"/>
              <w:numPr>
                <w:ilvl w:val="0"/>
                <w:numId w:val="13"/>
              </w:numPr>
              <w:overflowPunct w:val="0"/>
              <w:autoSpaceDE w:val="0"/>
              <w:autoSpaceDN w:val="0"/>
              <w:adjustRightInd w:val="0"/>
              <w:spacing w:after="180" w:line="240" w:lineRule="auto"/>
              <w:textAlignment w:val="baseline"/>
              <w:rPr>
                <w:rFonts w:ascii="Arial" w:eastAsia="SimSun" w:hAnsi="Arial" w:cs="Arial"/>
                <w:sz w:val="20"/>
                <w:szCs w:val="20"/>
                <w:lang w:eastAsia="ja-JP"/>
              </w:rPr>
            </w:pPr>
            <w:bookmarkStart w:id="2" w:name="_Hlk67648184"/>
            <w:r w:rsidRPr="00653F73">
              <w:rPr>
                <w:rFonts w:ascii="Arial" w:eastAsia="SimSun" w:hAnsi="Arial" w:cs="Arial"/>
                <w:sz w:val="20"/>
                <w:szCs w:val="20"/>
                <w:lang w:val="en-GB" w:eastAsia="ja-JP"/>
              </w:rPr>
              <w:t xml:space="preserve">Specify a system information indication to indicate whether a RedCap UE can camp on the cell/frequency or not; </w:t>
            </w:r>
            <w:bookmarkStart w:id="3" w:name="_Hlk67650013"/>
            <w:r w:rsidRPr="00653F73">
              <w:rPr>
                <w:rFonts w:ascii="Arial" w:eastAsia="SimSun" w:hAnsi="Arial" w:cs="Arial"/>
                <w:sz w:val="20"/>
                <w:szCs w:val="20"/>
                <w:lang w:val="en-GB" w:eastAsia="ja-JP"/>
              </w:rPr>
              <w:t>it shall be possible for the indication to be specific to the number of Rx branches of the UE</w:t>
            </w:r>
            <w:bookmarkEnd w:id="2"/>
            <w:bookmarkEnd w:id="3"/>
            <w:r w:rsidRPr="00653F73">
              <w:rPr>
                <w:rFonts w:ascii="Arial" w:eastAsia="SimSun" w:hAnsi="Arial" w:cs="Arial"/>
                <w:sz w:val="20"/>
                <w:szCs w:val="20"/>
                <w:lang w:val="en-GB" w:eastAsia="ja-JP"/>
              </w:rPr>
              <w:t>. [RAN2, RAN1]</w:t>
            </w:r>
            <w:r w:rsidRPr="00653F73">
              <w:rPr>
                <w:rFonts w:ascii="Arial" w:eastAsia="SimSun" w:hAnsi="Arial" w:cs="Arial"/>
                <w:sz w:val="20"/>
                <w:szCs w:val="20"/>
                <w:lang w:eastAsia="ja-JP"/>
              </w:rPr>
              <w:t xml:space="preserve"> </w:t>
            </w:r>
          </w:p>
        </w:tc>
      </w:tr>
    </w:tbl>
    <w:p w14:paraId="223B976D" w14:textId="77777777" w:rsidR="00282B70" w:rsidRDefault="00282B70" w:rsidP="00653F73">
      <w:pPr>
        <w:pStyle w:val="BodyText"/>
        <w:rPr>
          <w:rFonts w:cs="Arial"/>
        </w:rPr>
      </w:pPr>
    </w:p>
    <w:p w14:paraId="5DAC69E7" w14:textId="2E8CDB43" w:rsidR="009C2813" w:rsidRPr="00653F73" w:rsidRDefault="009C2813" w:rsidP="00653F73">
      <w:pPr>
        <w:pStyle w:val="BodyText"/>
        <w:rPr>
          <w:rFonts w:cs="Arial"/>
        </w:rPr>
      </w:pPr>
      <w:r>
        <w:rPr>
          <w:rFonts w:cs="Arial"/>
        </w:rPr>
        <w:t xml:space="preserve">In addition, we also discuss RAN2 LS regarding Rel-15/16 </w:t>
      </w:r>
      <w:r w:rsidR="00236C6A">
        <w:rPr>
          <w:rFonts w:cs="Arial"/>
        </w:rPr>
        <w:t xml:space="preserve">UE </w:t>
      </w:r>
      <w:r>
        <w:rPr>
          <w:rFonts w:cs="Arial"/>
        </w:rPr>
        <w:t>capabilities and features that are not applicable for RedCap UEs</w:t>
      </w:r>
      <w:r w:rsidR="00F80239">
        <w:rPr>
          <w:rFonts w:cs="Arial"/>
        </w:rPr>
        <w:t xml:space="preserve"> </w:t>
      </w:r>
      <w:r w:rsidR="00236C6A">
        <w:rPr>
          <w:rFonts w:cs="Arial"/>
        </w:rPr>
        <w:fldChar w:fldCharType="begin"/>
      </w:r>
      <w:r w:rsidR="00236C6A">
        <w:rPr>
          <w:rFonts w:cs="Arial"/>
        </w:rPr>
        <w:instrText xml:space="preserve"> REF _Ref83116980 \r \h </w:instrText>
      </w:r>
      <w:r w:rsidR="00236C6A">
        <w:rPr>
          <w:rFonts w:cs="Arial"/>
        </w:rPr>
      </w:r>
      <w:r w:rsidR="00236C6A">
        <w:rPr>
          <w:rFonts w:cs="Arial"/>
        </w:rPr>
        <w:fldChar w:fldCharType="separate"/>
      </w:r>
      <w:r w:rsidR="00236C6A">
        <w:rPr>
          <w:rFonts w:cs="Arial"/>
        </w:rPr>
        <w:t>[2]</w:t>
      </w:r>
      <w:r w:rsidR="00236C6A">
        <w:rPr>
          <w:rFonts w:cs="Arial"/>
        </w:rPr>
        <w:fldChar w:fldCharType="end"/>
      </w:r>
      <w:r>
        <w:rPr>
          <w:rFonts w:cs="Arial"/>
        </w:rPr>
        <w:t xml:space="preserve">. </w:t>
      </w:r>
    </w:p>
    <w:p w14:paraId="76BABC30" w14:textId="77777777" w:rsidR="00986BE6" w:rsidRPr="00035752" w:rsidRDefault="00986BE6" w:rsidP="00986BE6">
      <w:pPr>
        <w:pStyle w:val="Heading1"/>
      </w:pPr>
      <w:r>
        <w:t>2</w:t>
      </w:r>
      <w:r>
        <w:tab/>
      </w:r>
      <w:r w:rsidRPr="00035752">
        <w:t>Definition and constraining of reduced capabilities</w:t>
      </w:r>
    </w:p>
    <w:p w14:paraId="1F6E0F09" w14:textId="75A6812C" w:rsidR="00E95143" w:rsidRDefault="00E95143" w:rsidP="00986BE6">
      <w:pPr>
        <w:pStyle w:val="Heading2"/>
      </w:pPr>
      <w:r>
        <w:t>2</w:t>
      </w:r>
      <w:r w:rsidR="00986BE6">
        <w:t>.1</w:t>
      </w:r>
      <w:r>
        <w:tab/>
      </w:r>
      <w:r w:rsidR="006A1959" w:rsidRPr="00FD0396">
        <w:t>Definition of RedCap UE type</w:t>
      </w:r>
    </w:p>
    <w:p w14:paraId="2BB5FDA1" w14:textId="21616C91" w:rsidR="007875A7" w:rsidRDefault="007875A7" w:rsidP="007875A7">
      <w:pPr>
        <w:jc w:val="both"/>
        <w:rPr>
          <w:rFonts w:cs="Arial"/>
          <w:szCs w:val="20"/>
        </w:rPr>
      </w:pPr>
      <w:r>
        <w:rPr>
          <w:rFonts w:cs="Arial"/>
          <w:szCs w:val="20"/>
        </w:rPr>
        <w:t xml:space="preserve">The </w:t>
      </w:r>
      <w:r>
        <w:rPr>
          <w:lang w:val="en-GB" w:eastAsia="ja-JP"/>
        </w:rPr>
        <w:t xml:space="preserve">purpose of introducing the RedCap UE type is threefold: </w:t>
      </w:r>
      <w:r w:rsidR="00236C6A">
        <w:rPr>
          <w:lang w:val="en-GB" w:eastAsia="ja-JP"/>
        </w:rPr>
        <w:t xml:space="preserve">(1) </w:t>
      </w:r>
      <w:r>
        <w:rPr>
          <w:lang w:val="en-GB" w:eastAsia="ja-JP"/>
        </w:rPr>
        <w:t xml:space="preserve">to identify RedCap UEs, i.e., to differentiate </w:t>
      </w:r>
      <w:r w:rsidR="00236C6A">
        <w:rPr>
          <w:lang w:val="en-GB" w:eastAsia="ja-JP"/>
        </w:rPr>
        <w:t>RedCap UEs</w:t>
      </w:r>
      <w:r>
        <w:rPr>
          <w:lang w:val="en-GB" w:eastAsia="ja-JP"/>
        </w:rPr>
        <w:t xml:space="preserve"> from non-RedCap UEs</w:t>
      </w:r>
      <w:r w:rsidR="00236C6A">
        <w:rPr>
          <w:lang w:val="en-GB" w:eastAsia="ja-JP"/>
        </w:rPr>
        <w:t>;</w:t>
      </w:r>
      <w:r>
        <w:rPr>
          <w:lang w:val="en-GB" w:eastAsia="ja-JP"/>
        </w:rPr>
        <w:t xml:space="preserve"> </w:t>
      </w:r>
      <w:r w:rsidR="00236C6A">
        <w:rPr>
          <w:lang w:val="en-GB" w:eastAsia="ja-JP"/>
        </w:rPr>
        <w:t xml:space="preserve">(2) </w:t>
      </w:r>
      <w:r>
        <w:rPr>
          <w:lang w:val="en-GB" w:eastAsia="ja-JP"/>
        </w:rPr>
        <w:t>to constrain the use of RedCap UE capabilities only to RedCap UEs</w:t>
      </w:r>
      <w:r w:rsidR="00236C6A">
        <w:rPr>
          <w:lang w:val="en-GB" w:eastAsia="ja-JP"/>
        </w:rPr>
        <w:t>;</w:t>
      </w:r>
      <w:r>
        <w:rPr>
          <w:lang w:val="en-GB" w:eastAsia="ja-JP"/>
        </w:rPr>
        <w:t xml:space="preserve"> and </w:t>
      </w:r>
      <w:r w:rsidR="00236C6A">
        <w:rPr>
          <w:lang w:val="en-GB" w:eastAsia="ja-JP"/>
        </w:rPr>
        <w:t xml:space="preserve">(3) </w:t>
      </w:r>
      <w:r>
        <w:rPr>
          <w:lang w:val="en-GB" w:eastAsia="ja-JP"/>
        </w:rPr>
        <w:t xml:space="preserve">to prevent RedCap UEs from using capabilities </w:t>
      </w:r>
      <w:r w:rsidR="00236C6A">
        <w:rPr>
          <w:lang w:val="en-GB" w:eastAsia="ja-JP"/>
        </w:rPr>
        <w:t xml:space="preserve">that are </w:t>
      </w:r>
      <w:r>
        <w:rPr>
          <w:lang w:val="en-GB" w:eastAsia="ja-JP"/>
        </w:rPr>
        <w:t xml:space="preserve">not intended for RedCap UEs. </w:t>
      </w:r>
      <w:r>
        <w:rPr>
          <w:rFonts w:cs="Arial"/>
          <w:szCs w:val="20"/>
          <w:lang w:val="en-GB"/>
        </w:rPr>
        <w:t>T</w:t>
      </w:r>
      <w:r>
        <w:rPr>
          <w:rFonts w:cs="Arial"/>
          <w:szCs w:val="20"/>
        </w:rPr>
        <w:t xml:space="preserve">he WID stipulates that only one RedCap UE type should be specified </w:t>
      </w:r>
      <w:r>
        <w:rPr>
          <w:rFonts w:cs="Arial"/>
          <w:szCs w:val="20"/>
        </w:rPr>
        <w:fldChar w:fldCharType="begin"/>
      </w:r>
      <w:r>
        <w:rPr>
          <w:rFonts w:cs="Arial"/>
          <w:szCs w:val="20"/>
        </w:rPr>
        <w:instrText xml:space="preserve"> REF _Ref71040330 \r \h  \* MERGEFORMAT </w:instrText>
      </w:r>
      <w:r>
        <w:rPr>
          <w:rFonts w:cs="Arial"/>
          <w:szCs w:val="20"/>
        </w:rPr>
      </w:r>
      <w:r>
        <w:rPr>
          <w:rFonts w:cs="Arial"/>
          <w:szCs w:val="20"/>
        </w:rPr>
        <w:fldChar w:fldCharType="separate"/>
      </w:r>
      <w:r>
        <w:rPr>
          <w:rFonts w:cs="Arial"/>
          <w:szCs w:val="20"/>
        </w:rPr>
        <w:t>[1]</w:t>
      </w:r>
      <w:r>
        <w:rPr>
          <w:rFonts w:cs="Arial"/>
          <w:szCs w:val="20"/>
        </w:rPr>
        <w:fldChar w:fldCharType="end"/>
      </w:r>
      <w:r>
        <w:rPr>
          <w:rFonts w:cs="Arial"/>
          <w:szCs w:val="20"/>
        </w:rPr>
        <w:t xml:space="preserve">. Moreover, the following agreement was also made by RAN2 during RAN2#114-e </w:t>
      </w:r>
      <w:r>
        <w:rPr>
          <w:rFonts w:cs="Arial"/>
          <w:szCs w:val="20"/>
        </w:rPr>
        <w:fldChar w:fldCharType="begin"/>
      </w:r>
      <w:r>
        <w:rPr>
          <w:rFonts w:cs="Arial"/>
          <w:szCs w:val="20"/>
        </w:rPr>
        <w:instrText xml:space="preserve"> REF _Ref78279816 \r \h  \* MERGEFORMAT </w:instrText>
      </w:r>
      <w:r>
        <w:rPr>
          <w:rFonts w:cs="Arial"/>
          <w:szCs w:val="20"/>
        </w:rPr>
      </w:r>
      <w:r>
        <w:rPr>
          <w:rFonts w:cs="Arial"/>
          <w:szCs w:val="20"/>
        </w:rPr>
        <w:fldChar w:fldCharType="separate"/>
      </w:r>
      <w:r w:rsidR="00236C6A">
        <w:rPr>
          <w:rFonts w:cs="Arial"/>
          <w:szCs w:val="20"/>
        </w:rPr>
        <w:t>[3]</w:t>
      </w:r>
      <w:r>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7875A7" w14:paraId="74A7A603" w14:textId="77777777" w:rsidTr="00403255">
        <w:tc>
          <w:tcPr>
            <w:tcW w:w="9629" w:type="dxa"/>
          </w:tcPr>
          <w:p w14:paraId="7FCFDD68" w14:textId="77777777" w:rsidR="007875A7" w:rsidRPr="00D237EC" w:rsidRDefault="007875A7" w:rsidP="00403255">
            <w:pPr>
              <w:pStyle w:val="Doc-text2"/>
              <w:ind w:left="0" w:firstLine="0"/>
              <w:rPr>
                <w:sz w:val="20"/>
                <w:szCs w:val="20"/>
                <w:lang w:val="en-GB"/>
              </w:rPr>
            </w:pPr>
            <w:r w:rsidRPr="00D237EC">
              <w:rPr>
                <w:sz w:val="20"/>
                <w:szCs w:val="20"/>
                <w:lang w:val="en-GB"/>
              </w:rPr>
              <w:t>Agreements:</w:t>
            </w:r>
          </w:p>
          <w:p w14:paraId="646DC967" w14:textId="77777777" w:rsidR="007875A7" w:rsidRPr="00D237EC" w:rsidRDefault="007875A7" w:rsidP="001744CF">
            <w:pPr>
              <w:pStyle w:val="Doc-text2"/>
              <w:numPr>
                <w:ilvl w:val="0"/>
                <w:numId w:val="15"/>
              </w:numPr>
              <w:tabs>
                <w:tab w:val="clear" w:pos="1622"/>
              </w:tabs>
              <w:spacing w:line="240" w:lineRule="auto"/>
              <w:ind w:left="360"/>
              <w:rPr>
                <w:sz w:val="20"/>
                <w:szCs w:val="20"/>
                <w:lang w:val="en-GB"/>
              </w:rPr>
            </w:pPr>
            <w:r>
              <w:rPr>
                <w:sz w:val="20"/>
                <w:szCs w:val="20"/>
                <w:lang w:val="en-GB"/>
              </w:rPr>
              <w:t>[…]</w:t>
            </w:r>
          </w:p>
          <w:p w14:paraId="62D4608A" w14:textId="77777777" w:rsidR="007875A7" w:rsidRPr="00D237EC" w:rsidRDefault="007875A7" w:rsidP="001744CF">
            <w:pPr>
              <w:pStyle w:val="Doc-text2"/>
              <w:numPr>
                <w:ilvl w:val="0"/>
                <w:numId w:val="15"/>
              </w:numPr>
              <w:tabs>
                <w:tab w:val="clear" w:pos="1622"/>
              </w:tabs>
              <w:spacing w:line="240" w:lineRule="auto"/>
              <w:ind w:left="360"/>
              <w:rPr>
                <w:sz w:val="20"/>
                <w:szCs w:val="20"/>
                <w:lang w:val="en-GB"/>
              </w:rPr>
            </w:pPr>
            <w:r w:rsidRPr="00D237EC">
              <w:rPr>
                <w:sz w:val="20"/>
                <w:szCs w:val="20"/>
                <w:lang w:val="en-GB"/>
              </w:rPr>
              <w:t>At least for early identification there will be only one RedCap UE (no need to define separate RedCap UE types for FR1 and FR2)</w:t>
            </w:r>
          </w:p>
          <w:p w14:paraId="08886C19" w14:textId="77777777" w:rsidR="007875A7" w:rsidRPr="00D237EC" w:rsidRDefault="007875A7" w:rsidP="001744CF">
            <w:pPr>
              <w:pStyle w:val="Doc-text2"/>
              <w:numPr>
                <w:ilvl w:val="0"/>
                <w:numId w:val="15"/>
              </w:numPr>
              <w:tabs>
                <w:tab w:val="clear" w:pos="1622"/>
              </w:tabs>
              <w:spacing w:line="240" w:lineRule="auto"/>
              <w:ind w:left="360"/>
              <w:rPr>
                <w:sz w:val="20"/>
                <w:szCs w:val="20"/>
                <w:lang w:val="en-GB"/>
              </w:rPr>
            </w:pPr>
            <w:r>
              <w:rPr>
                <w:sz w:val="20"/>
                <w:szCs w:val="20"/>
                <w:lang w:val="en-GB"/>
              </w:rPr>
              <w:t>[…]</w:t>
            </w:r>
          </w:p>
        </w:tc>
      </w:tr>
    </w:tbl>
    <w:p w14:paraId="6EEEA03C" w14:textId="77777777" w:rsidR="007875A7" w:rsidRDefault="007875A7" w:rsidP="007875A7">
      <w:pPr>
        <w:jc w:val="both"/>
        <w:rPr>
          <w:rFonts w:cs="Arial"/>
          <w:szCs w:val="20"/>
        </w:rPr>
      </w:pPr>
    </w:p>
    <w:p w14:paraId="5AB57DB2" w14:textId="7989CCBE" w:rsidR="007875A7" w:rsidRDefault="007875A7" w:rsidP="007875A7">
      <w:pPr>
        <w:jc w:val="both"/>
        <w:rPr>
          <w:rFonts w:cs="Arial"/>
          <w:szCs w:val="20"/>
        </w:rPr>
      </w:pPr>
      <w:r>
        <w:rPr>
          <w:rFonts w:cs="Arial"/>
          <w:szCs w:val="20"/>
        </w:rPr>
        <w:lastRenderedPageBreak/>
        <w:t xml:space="preserve">With regards to the </w:t>
      </w:r>
      <w:r w:rsidRPr="002445DB">
        <w:rPr>
          <w:rFonts w:cs="Arial"/>
          <w:szCs w:val="20"/>
        </w:rPr>
        <w:t>definition of the RedCap UE type</w:t>
      </w:r>
      <w:r>
        <w:rPr>
          <w:rFonts w:cs="Arial"/>
          <w:szCs w:val="20"/>
        </w:rPr>
        <w:t>, the following agreement was made by RAN1 during RAN1#106-e</w:t>
      </w:r>
      <w:r w:rsidR="00236C6A">
        <w:rPr>
          <w:rFonts w:cs="Arial"/>
          <w:szCs w:val="20"/>
        </w:rPr>
        <w:t xml:space="preserve"> </w:t>
      </w:r>
      <w:r w:rsidR="00E13174">
        <w:rPr>
          <w:rFonts w:cs="Arial"/>
          <w:szCs w:val="20"/>
        </w:rPr>
        <w:fldChar w:fldCharType="begin"/>
      </w:r>
      <w:r w:rsidR="00E13174">
        <w:rPr>
          <w:rFonts w:cs="Arial"/>
          <w:szCs w:val="20"/>
        </w:rPr>
        <w:instrText xml:space="preserve"> REF _Ref65144387 \r \h </w:instrText>
      </w:r>
      <w:r w:rsidR="00E13174">
        <w:rPr>
          <w:rFonts w:cs="Arial"/>
          <w:szCs w:val="20"/>
        </w:rPr>
      </w:r>
      <w:r w:rsidR="00E13174">
        <w:rPr>
          <w:rFonts w:cs="Arial"/>
          <w:szCs w:val="20"/>
        </w:rPr>
        <w:fldChar w:fldCharType="separate"/>
      </w:r>
      <w:r w:rsidR="00E13174">
        <w:rPr>
          <w:rFonts w:cs="Arial"/>
          <w:szCs w:val="20"/>
        </w:rPr>
        <w:t>[4]</w:t>
      </w:r>
      <w:r w:rsidR="00E13174">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7875A7" w14:paraId="17F08D33" w14:textId="77777777" w:rsidTr="007875A7">
        <w:tc>
          <w:tcPr>
            <w:tcW w:w="9629" w:type="dxa"/>
          </w:tcPr>
          <w:p w14:paraId="026599C6" w14:textId="77777777" w:rsidR="007875A7" w:rsidRPr="007875A7" w:rsidRDefault="007875A7" w:rsidP="007875A7">
            <w:pPr>
              <w:jc w:val="both"/>
              <w:rPr>
                <w:rFonts w:cs="Arial"/>
                <w:sz w:val="20"/>
                <w:szCs w:val="20"/>
                <w:highlight w:val="green"/>
                <w:lang w:eastAsia="ja-JP"/>
              </w:rPr>
            </w:pPr>
            <w:r w:rsidRPr="007875A7">
              <w:rPr>
                <w:rFonts w:cs="Arial"/>
                <w:sz w:val="20"/>
                <w:szCs w:val="20"/>
                <w:highlight w:val="green"/>
                <w:lang w:eastAsia="ja-JP"/>
              </w:rPr>
              <w:t>Agreements:</w:t>
            </w:r>
          </w:p>
          <w:p w14:paraId="0EC8F5E8" w14:textId="77777777" w:rsidR="007875A7" w:rsidRPr="007875A7" w:rsidRDefault="007875A7" w:rsidP="001744CF">
            <w:pPr>
              <w:numPr>
                <w:ilvl w:val="0"/>
                <w:numId w:val="17"/>
              </w:numPr>
              <w:spacing w:after="0" w:line="252" w:lineRule="auto"/>
              <w:contextualSpacing/>
              <w:rPr>
                <w:rFonts w:cs="Arial"/>
                <w:sz w:val="20"/>
                <w:szCs w:val="20"/>
              </w:rPr>
            </w:pPr>
            <w:r w:rsidRPr="007875A7">
              <w:rPr>
                <w:rFonts w:cs="Arial"/>
                <w:sz w:val="20"/>
                <w:szCs w:val="20"/>
              </w:rPr>
              <w:t>A RedCap UE type from RAN1 point of view supports a maximum bandwidth of 20MHz for FR1 and 100MHz for FR2</w:t>
            </w:r>
          </w:p>
          <w:p w14:paraId="4E8E88DE" w14:textId="77777777" w:rsidR="007875A7" w:rsidRPr="007875A7" w:rsidRDefault="007875A7" w:rsidP="001744CF">
            <w:pPr>
              <w:numPr>
                <w:ilvl w:val="0"/>
                <w:numId w:val="17"/>
              </w:numPr>
              <w:spacing w:after="0" w:line="252" w:lineRule="auto"/>
              <w:contextualSpacing/>
              <w:rPr>
                <w:rFonts w:cs="Arial"/>
                <w:sz w:val="20"/>
                <w:szCs w:val="20"/>
              </w:rPr>
            </w:pPr>
            <w:r w:rsidRPr="007875A7">
              <w:rPr>
                <w:rFonts w:cs="Arial"/>
                <w:sz w:val="20"/>
                <w:szCs w:val="20"/>
              </w:rPr>
              <w:t>Further discuss whether to capture also one or more of the following capabilities to RedCap UE type description</w:t>
            </w:r>
          </w:p>
          <w:p w14:paraId="4D259759" w14:textId="77777777" w:rsidR="007875A7" w:rsidRPr="007875A7" w:rsidRDefault="007875A7" w:rsidP="001744CF">
            <w:pPr>
              <w:numPr>
                <w:ilvl w:val="1"/>
                <w:numId w:val="17"/>
              </w:numPr>
              <w:spacing w:after="0" w:line="252" w:lineRule="auto"/>
              <w:contextualSpacing/>
              <w:rPr>
                <w:rFonts w:cs="Arial"/>
                <w:sz w:val="20"/>
                <w:szCs w:val="20"/>
              </w:rPr>
            </w:pPr>
            <w:r w:rsidRPr="007875A7">
              <w:rPr>
                <w:rFonts w:cs="Arial"/>
                <w:sz w:val="20"/>
                <w:szCs w:val="20"/>
              </w:rPr>
              <w:t>Supports either 1 or 2 Rx branches and corresponding maximum DL MIMO layers</w:t>
            </w:r>
          </w:p>
          <w:p w14:paraId="362BFDFC" w14:textId="77777777" w:rsidR="007875A7" w:rsidRPr="007875A7" w:rsidRDefault="007875A7" w:rsidP="001744CF">
            <w:pPr>
              <w:numPr>
                <w:ilvl w:val="1"/>
                <w:numId w:val="17"/>
              </w:numPr>
              <w:spacing w:after="0" w:line="252" w:lineRule="auto"/>
              <w:contextualSpacing/>
              <w:rPr>
                <w:rFonts w:cs="Arial"/>
                <w:sz w:val="20"/>
                <w:szCs w:val="20"/>
              </w:rPr>
            </w:pPr>
            <w:r w:rsidRPr="007875A7">
              <w:rPr>
                <w:rFonts w:cs="Arial"/>
                <w:sz w:val="20"/>
                <w:szCs w:val="20"/>
              </w:rPr>
              <w:t>Supports either FD-FDD or Type A HD-FDD operation for FR1 FDD bands</w:t>
            </w:r>
          </w:p>
          <w:p w14:paraId="50BB7F6B" w14:textId="77777777" w:rsidR="007875A7" w:rsidRPr="007875A7" w:rsidRDefault="007875A7" w:rsidP="001744CF">
            <w:pPr>
              <w:numPr>
                <w:ilvl w:val="1"/>
                <w:numId w:val="17"/>
              </w:numPr>
              <w:spacing w:after="0" w:line="252" w:lineRule="auto"/>
              <w:contextualSpacing/>
              <w:rPr>
                <w:rFonts w:cs="Arial"/>
                <w:sz w:val="20"/>
                <w:szCs w:val="20"/>
              </w:rPr>
            </w:pPr>
            <w:r w:rsidRPr="007875A7">
              <w:rPr>
                <w:rFonts w:cs="Arial"/>
                <w:sz w:val="20"/>
                <w:szCs w:val="20"/>
              </w:rPr>
              <w:t>Supports either DL up to 64 QAM or up to 256 QAM for FR1</w:t>
            </w:r>
          </w:p>
          <w:p w14:paraId="46C1E810" w14:textId="03809E28" w:rsidR="007875A7" w:rsidRPr="007875A7" w:rsidRDefault="007875A7" w:rsidP="001744CF">
            <w:pPr>
              <w:numPr>
                <w:ilvl w:val="1"/>
                <w:numId w:val="17"/>
              </w:numPr>
              <w:spacing w:after="0" w:line="252" w:lineRule="auto"/>
              <w:contextualSpacing/>
              <w:rPr>
                <w:rFonts w:ascii="Times New Roman" w:hAnsi="Times New Roman"/>
                <w:szCs w:val="20"/>
              </w:rPr>
            </w:pPr>
            <w:r w:rsidRPr="007875A7">
              <w:rPr>
                <w:rFonts w:cs="Arial"/>
                <w:sz w:val="20"/>
                <w:szCs w:val="20"/>
              </w:rPr>
              <w:t>Does not support CA/DC</w:t>
            </w:r>
          </w:p>
        </w:tc>
      </w:tr>
    </w:tbl>
    <w:p w14:paraId="771FA0E4" w14:textId="77777777" w:rsidR="007875A7" w:rsidRDefault="007875A7" w:rsidP="007875A7">
      <w:pPr>
        <w:jc w:val="both"/>
        <w:rPr>
          <w:rFonts w:cs="Arial"/>
          <w:szCs w:val="20"/>
        </w:rPr>
      </w:pPr>
    </w:p>
    <w:p w14:paraId="35A6FFE8" w14:textId="7CFC8522" w:rsidR="00B94EB4" w:rsidRPr="00282B70" w:rsidRDefault="00AE3993" w:rsidP="00282B70">
      <w:pPr>
        <w:jc w:val="both"/>
        <w:rPr>
          <w:rFonts w:cs="Arial"/>
          <w:szCs w:val="20"/>
        </w:rPr>
      </w:pPr>
      <w:r>
        <w:t>I</w:t>
      </w:r>
      <w:r w:rsidR="003A7E5C">
        <w:t>n our view, t</w:t>
      </w:r>
      <w:r w:rsidR="003A7E5C" w:rsidRPr="00C973B9">
        <w:t xml:space="preserve">he RedCap UE </w:t>
      </w:r>
      <w:r w:rsidR="003A7E5C">
        <w:t>type</w:t>
      </w:r>
      <w:r w:rsidR="003A7E5C" w:rsidRPr="00C973B9">
        <w:t xml:space="preserve"> definition should contain all the mandatory capabilities which separate a RedCap UE from a </w:t>
      </w:r>
      <w:r w:rsidR="003A7E5C">
        <w:t>non-RedCap</w:t>
      </w:r>
      <w:r w:rsidR="003A7E5C" w:rsidRPr="00C973B9">
        <w:t xml:space="preserve"> UE. </w:t>
      </w:r>
      <w:r w:rsidR="00E13174">
        <w:t>T</w:t>
      </w:r>
      <w:r w:rsidR="003A7E5C" w:rsidRPr="00C973B9">
        <w:t xml:space="preserve">he minimum set of </w:t>
      </w:r>
      <w:r w:rsidR="00623D2E">
        <w:t>such</w:t>
      </w:r>
      <w:r w:rsidR="003A7E5C" w:rsidRPr="00C973B9">
        <w:t xml:space="preserve"> capabilities should be used</w:t>
      </w:r>
      <w:r w:rsidR="00E13174">
        <w:t xml:space="preserve"> f</w:t>
      </w:r>
      <w:r w:rsidR="00E13174" w:rsidRPr="00C973B9">
        <w:t>or the definition</w:t>
      </w:r>
      <w:r w:rsidR="003A7E5C" w:rsidRPr="00C973B9">
        <w:t xml:space="preserve">. </w:t>
      </w:r>
      <w:r w:rsidR="003A7E5C" w:rsidRPr="00A53DDF">
        <w:t xml:space="preserve">Additionally, it could be mentioned in the definition that some features such as all capabilities which require support for CA or DC are not supported by a RedCap UE. This way we can avoid cluttering the capability field </w:t>
      </w:r>
      <w:r w:rsidR="00E13174" w:rsidRPr="00A53DDF">
        <w:t>descriptions and</w:t>
      </w:r>
      <w:r w:rsidR="003A7E5C" w:rsidRPr="00A53DDF">
        <w:t xml:space="preserve"> reduce future maintenance load</w:t>
      </w:r>
      <w:r w:rsidR="001C2467">
        <w:t xml:space="preserve">. </w:t>
      </w:r>
    </w:p>
    <w:p w14:paraId="33E7F658" w14:textId="2DBC8733" w:rsidR="00AE3993" w:rsidRPr="00E72266" w:rsidRDefault="005B3F04" w:rsidP="00E72266">
      <w:pPr>
        <w:pStyle w:val="Observation"/>
      </w:pPr>
      <w:bookmarkStart w:id="4" w:name="_Toc84024288"/>
      <w:bookmarkStart w:id="5" w:name="_Toc71583892"/>
      <w:r w:rsidRPr="00E72266">
        <w:t>From RAN1 point of view, a</w:t>
      </w:r>
      <w:r w:rsidR="00AE3993" w:rsidRPr="00E72266">
        <w:t xml:space="preserve"> RedCap UE type:</w:t>
      </w:r>
      <w:bookmarkEnd w:id="4"/>
      <w:r w:rsidR="00AE3993" w:rsidRPr="00E72266">
        <w:t xml:space="preserve"> </w:t>
      </w:r>
      <w:bookmarkEnd w:id="5"/>
    </w:p>
    <w:p w14:paraId="64E2663B" w14:textId="0D4494BF" w:rsidR="00AE3993" w:rsidRPr="00E72266" w:rsidRDefault="00C17B2A" w:rsidP="00E72266">
      <w:pPr>
        <w:pStyle w:val="Observation"/>
        <w:numPr>
          <w:ilvl w:val="2"/>
          <w:numId w:val="4"/>
        </w:numPr>
      </w:pPr>
      <w:bookmarkStart w:id="6" w:name="_Toc84024289"/>
      <w:r w:rsidRPr="00E72266">
        <w:t>Supports a</w:t>
      </w:r>
      <w:r w:rsidR="00AE3993" w:rsidRPr="00E72266">
        <w:t xml:space="preserve"> maximum </w:t>
      </w:r>
      <w:r w:rsidR="00E13174" w:rsidRPr="00E72266">
        <w:t xml:space="preserve">UE </w:t>
      </w:r>
      <w:r w:rsidR="00AE3993" w:rsidRPr="00E72266">
        <w:t>bandwidth of 20</w:t>
      </w:r>
      <w:r w:rsidR="00681EC8" w:rsidRPr="00E72266">
        <w:t xml:space="preserve"> </w:t>
      </w:r>
      <w:r w:rsidR="00AE3993" w:rsidRPr="00E72266">
        <w:t>MHz for FR1 and 100</w:t>
      </w:r>
      <w:r w:rsidR="00681EC8" w:rsidRPr="00E72266">
        <w:t xml:space="preserve"> </w:t>
      </w:r>
      <w:r w:rsidR="00AE3993" w:rsidRPr="00E72266">
        <w:t>MHz for FR2</w:t>
      </w:r>
      <w:bookmarkEnd w:id="6"/>
    </w:p>
    <w:p w14:paraId="5E7D074F" w14:textId="77777777" w:rsidR="00E72266" w:rsidRPr="00E72266" w:rsidRDefault="00C17B2A" w:rsidP="00E72266">
      <w:pPr>
        <w:pStyle w:val="Observation"/>
        <w:numPr>
          <w:ilvl w:val="2"/>
          <w:numId w:val="4"/>
        </w:numPr>
      </w:pPr>
      <w:bookmarkStart w:id="7" w:name="_Toc84024290"/>
      <w:r w:rsidRPr="00E72266">
        <w:t>Supports a</w:t>
      </w:r>
      <w:r w:rsidR="00AE3993" w:rsidRPr="00E72266">
        <w:t xml:space="preserve"> minimum of 1 Rx branch and 1 DL MIMO layer</w:t>
      </w:r>
      <w:bookmarkEnd w:id="7"/>
    </w:p>
    <w:p w14:paraId="0650C752" w14:textId="791B1687" w:rsidR="00AE3993" w:rsidRPr="00E72266" w:rsidRDefault="00AE3993" w:rsidP="00E72266">
      <w:pPr>
        <w:pStyle w:val="Observation"/>
        <w:numPr>
          <w:ilvl w:val="3"/>
          <w:numId w:val="4"/>
        </w:numPr>
      </w:pPr>
      <w:bookmarkStart w:id="8" w:name="_Toc84024291"/>
      <w:r w:rsidRPr="00E72266">
        <w:t>If the UE supports 2 Rx branches, 2 DL MIMO layers shall be supported.</w:t>
      </w:r>
      <w:bookmarkEnd w:id="8"/>
    </w:p>
    <w:p w14:paraId="055765D8" w14:textId="0DC1B15F" w:rsidR="00AE3993" w:rsidRPr="00E72266" w:rsidRDefault="00C17B2A" w:rsidP="00E72266">
      <w:pPr>
        <w:pStyle w:val="Observation"/>
        <w:numPr>
          <w:ilvl w:val="2"/>
          <w:numId w:val="4"/>
        </w:numPr>
      </w:pPr>
      <w:bookmarkStart w:id="9" w:name="_Toc84024292"/>
      <w:r w:rsidRPr="00E72266">
        <w:t>Supports a m</w:t>
      </w:r>
      <w:r w:rsidR="00AE3993" w:rsidRPr="00E72266">
        <w:t>aximum modulation order of at least 64QAM in DL for FR1</w:t>
      </w:r>
      <w:bookmarkEnd w:id="9"/>
    </w:p>
    <w:p w14:paraId="0A334AF5" w14:textId="2268DFF4" w:rsidR="00AE3993" w:rsidRPr="00E72266" w:rsidRDefault="00C17B2A" w:rsidP="00E72266">
      <w:pPr>
        <w:pStyle w:val="Observation"/>
        <w:numPr>
          <w:ilvl w:val="2"/>
          <w:numId w:val="4"/>
        </w:numPr>
      </w:pPr>
      <w:bookmarkStart w:id="10" w:name="_Toc84024293"/>
      <w:r w:rsidRPr="00E72266">
        <w:t xml:space="preserve">Supports </w:t>
      </w:r>
      <w:r w:rsidR="00AE3993" w:rsidRPr="00E72266">
        <w:t xml:space="preserve">HD-FDD </w:t>
      </w:r>
      <w:r w:rsidR="00E13174" w:rsidRPr="00E72266">
        <w:t xml:space="preserve">Type A </w:t>
      </w:r>
      <w:r w:rsidR="00AE3993" w:rsidRPr="00E72266">
        <w:t xml:space="preserve">operation as </w:t>
      </w:r>
      <w:r w:rsidR="00C25E13" w:rsidRPr="00E72266">
        <w:t xml:space="preserve">a </w:t>
      </w:r>
      <w:r w:rsidR="00AE3993" w:rsidRPr="00E72266">
        <w:t>baseline for FR1 FDD bands</w:t>
      </w:r>
      <w:bookmarkEnd w:id="10"/>
    </w:p>
    <w:p w14:paraId="4FCBD22A" w14:textId="6CCE2BA0" w:rsidR="007875A7" w:rsidRPr="00E72266" w:rsidRDefault="00C17B2A" w:rsidP="00E72266">
      <w:pPr>
        <w:pStyle w:val="Observation"/>
        <w:numPr>
          <w:ilvl w:val="2"/>
          <w:numId w:val="4"/>
        </w:numPr>
      </w:pPr>
      <w:bookmarkStart w:id="11" w:name="_Toc84024294"/>
      <w:r w:rsidRPr="00E72266">
        <w:t>Does not support CA/DC</w:t>
      </w:r>
      <w:bookmarkEnd w:id="11"/>
    </w:p>
    <w:p w14:paraId="16D16C8D" w14:textId="630F5D2B" w:rsidR="007875A7" w:rsidRDefault="00AE3993" w:rsidP="007875A7">
      <w:pPr>
        <w:jc w:val="both"/>
        <w:rPr>
          <w:lang w:val="en-GB" w:eastAsia="ja-JP"/>
        </w:rPr>
      </w:pPr>
      <w:r w:rsidRPr="002445DB">
        <w:rPr>
          <w:lang w:val="en-GB" w:eastAsia="ja-JP"/>
        </w:rPr>
        <w:t>If a RedCap UE has additional or advanced capabilities beyond the set of minimum capabilities</w:t>
      </w:r>
      <w:r>
        <w:rPr>
          <w:lang w:val="en-GB" w:eastAsia="ja-JP"/>
        </w:rPr>
        <w:t xml:space="preserve"> listed </w:t>
      </w:r>
      <w:r w:rsidR="001C2467">
        <w:rPr>
          <w:lang w:val="en-GB" w:eastAsia="ja-JP"/>
        </w:rPr>
        <w:t>above</w:t>
      </w:r>
      <w:r w:rsidRPr="002445DB">
        <w:rPr>
          <w:lang w:val="en-GB" w:eastAsia="ja-JP"/>
        </w:rPr>
        <w:t xml:space="preserve">, the UE can use the existing capability signalling </w:t>
      </w:r>
      <w:r>
        <w:rPr>
          <w:lang w:val="en-GB" w:eastAsia="ja-JP"/>
        </w:rPr>
        <w:t>framework</w:t>
      </w:r>
      <w:r w:rsidRPr="002445DB">
        <w:rPr>
          <w:lang w:val="en-GB" w:eastAsia="ja-JP"/>
        </w:rPr>
        <w:t xml:space="preserve"> to convey such information.</w:t>
      </w:r>
    </w:p>
    <w:p w14:paraId="5F763607" w14:textId="3F406DA2" w:rsidR="001C2467" w:rsidRPr="001C2467" w:rsidRDefault="001C2467" w:rsidP="001C2467">
      <w:pPr>
        <w:pStyle w:val="Observation"/>
        <w:rPr>
          <w:rFonts w:cs="Arial"/>
          <w:szCs w:val="20"/>
        </w:rPr>
      </w:pPr>
      <w:bookmarkStart w:id="12" w:name="_Toc84024295"/>
      <w:r w:rsidRPr="002445DB">
        <w:rPr>
          <w:lang w:val="en-GB"/>
        </w:rPr>
        <w:t>If a RedCap UE has additional or advanced capabilities beyond the set of minimum capabilities</w:t>
      </w:r>
      <w:r w:rsidR="003F7FC9">
        <w:rPr>
          <w:lang w:val="en-GB"/>
        </w:rPr>
        <w:t xml:space="preserve"> listed in Observation 1</w:t>
      </w:r>
      <w:r w:rsidRPr="002445DB">
        <w:rPr>
          <w:lang w:val="en-GB"/>
        </w:rPr>
        <w:t xml:space="preserve">, the UE can use the existing capability signalling </w:t>
      </w:r>
      <w:r>
        <w:rPr>
          <w:lang w:val="en-GB"/>
        </w:rPr>
        <w:t>framework</w:t>
      </w:r>
      <w:r w:rsidRPr="002445DB">
        <w:rPr>
          <w:lang w:val="en-GB"/>
        </w:rPr>
        <w:t xml:space="preserve"> to convey such information.</w:t>
      </w:r>
      <w:bookmarkEnd w:id="12"/>
    </w:p>
    <w:p w14:paraId="6BE7BE90" w14:textId="77777777" w:rsidR="000951BE" w:rsidRDefault="000951BE" w:rsidP="000951BE">
      <w:pPr>
        <w:pStyle w:val="Heading2"/>
      </w:pPr>
      <w:r>
        <w:t>2.2</w:t>
      </w:r>
      <w:r>
        <w:tab/>
        <w:t>Constraining of reduced capabilities</w:t>
      </w:r>
    </w:p>
    <w:p w14:paraId="34869918" w14:textId="0DD9F6E5" w:rsidR="000951BE" w:rsidRDefault="000951BE" w:rsidP="00F90B1A">
      <w:pPr>
        <w:jc w:val="both"/>
      </w:pPr>
      <w:r>
        <w:t xml:space="preserve">According to the </w:t>
      </w:r>
      <w:r w:rsidRPr="00C973B9">
        <w:t>WID</w:t>
      </w:r>
      <w:r>
        <w:t>,</w:t>
      </w:r>
      <w:r w:rsidRPr="00C973B9">
        <w:t xml:space="preserve"> it should be possible to constrain the use of </w:t>
      </w:r>
      <w:r>
        <w:t>reduced</w:t>
      </w:r>
      <w:r w:rsidRPr="00C973B9">
        <w:t xml:space="preserve"> capabilities s</w:t>
      </w:r>
      <w:r w:rsidR="00E13174">
        <w:t>uch</w:t>
      </w:r>
      <w:r w:rsidRPr="00C973B9">
        <w:t xml:space="preserve"> that they are usable only by </w:t>
      </w:r>
      <w:r>
        <w:t>the</w:t>
      </w:r>
      <w:r w:rsidRPr="00C973B9">
        <w:t xml:space="preserve"> RedCap UE</w:t>
      </w:r>
      <w:r>
        <w:t>s</w:t>
      </w:r>
      <w:r w:rsidRPr="00C973B9">
        <w:t>.</w:t>
      </w:r>
      <w:r>
        <w:t xml:space="preserve"> This aspect was discussed in RAN1 during RAN1#105-e, and the following conclusion was reached </w:t>
      </w:r>
      <w:r>
        <w:fldChar w:fldCharType="begin"/>
      </w:r>
      <w:r>
        <w:instrText xml:space="preserve"> REF _Ref65144387 \r \h </w:instrText>
      </w:r>
      <w:r w:rsidR="00F90B1A">
        <w:instrText xml:space="preserve"> \* MERGEFORMAT </w:instrText>
      </w:r>
      <w:r>
        <w:fldChar w:fldCharType="separate"/>
      </w:r>
      <w:r w:rsidR="00AC4C36">
        <w:t>[4]</w:t>
      </w:r>
      <w:r>
        <w:fldChar w:fldCharType="end"/>
      </w:r>
      <w:r>
        <w:t>:</w:t>
      </w:r>
    </w:p>
    <w:tbl>
      <w:tblPr>
        <w:tblStyle w:val="TableGrid"/>
        <w:tblW w:w="0" w:type="auto"/>
        <w:tblLook w:val="04A0" w:firstRow="1" w:lastRow="0" w:firstColumn="1" w:lastColumn="0" w:noHBand="0" w:noVBand="1"/>
      </w:tblPr>
      <w:tblGrid>
        <w:gridCol w:w="9629"/>
      </w:tblGrid>
      <w:tr w:rsidR="000951BE" w14:paraId="51A76C53" w14:textId="77777777" w:rsidTr="00403255">
        <w:tc>
          <w:tcPr>
            <w:tcW w:w="9629" w:type="dxa"/>
          </w:tcPr>
          <w:p w14:paraId="2AABEE15" w14:textId="77777777" w:rsidR="000951BE" w:rsidRPr="00EA429D" w:rsidRDefault="000951BE" w:rsidP="00403255">
            <w:pPr>
              <w:jc w:val="both"/>
              <w:rPr>
                <w:rFonts w:eastAsia="Batang" w:cs="Arial"/>
                <w:b/>
                <w:bCs/>
                <w:sz w:val="20"/>
                <w:szCs w:val="20"/>
                <w:u w:val="single"/>
                <w:lang w:val="en-GB" w:eastAsia="ja-JP"/>
              </w:rPr>
            </w:pPr>
            <w:r w:rsidRPr="00EA429D">
              <w:rPr>
                <w:rFonts w:cs="Arial"/>
                <w:b/>
                <w:bCs/>
                <w:sz w:val="20"/>
                <w:szCs w:val="20"/>
                <w:u w:val="single"/>
                <w:lang w:eastAsia="ja-JP"/>
              </w:rPr>
              <w:t>Conclusion:</w:t>
            </w:r>
          </w:p>
          <w:p w14:paraId="20D97698" w14:textId="77777777" w:rsidR="000951BE" w:rsidRPr="00EA429D" w:rsidRDefault="000951BE" w:rsidP="001744CF">
            <w:pPr>
              <w:numPr>
                <w:ilvl w:val="0"/>
                <w:numId w:val="13"/>
              </w:numPr>
              <w:spacing w:after="0" w:line="252" w:lineRule="auto"/>
              <w:rPr>
                <w:rFonts w:ascii="Segoe UI" w:hAnsi="Segoe UI" w:cs="Segoe UI"/>
                <w:szCs w:val="20"/>
                <w:lang w:eastAsia="ja-JP"/>
              </w:rPr>
            </w:pPr>
            <w:r w:rsidRPr="00EA429D">
              <w:rPr>
                <w:rFonts w:cs="Arial"/>
                <w:sz w:val="20"/>
                <w:szCs w:val="20"/>
                <w:lang w:eastAsia="zh-CN"/>
              </w:rPr>
              <w:t xml:space="preserve">RAN1 postpones </w:t>
            </w:r>
            <w:r w:rsidRPr="00EA429D">
              <w:rPr>
                <w:rFonts w:eastAsia="Times New Roman" w:cs="Arial"/>
                <w:sz w:val="20"/>
                <w:szCs w:val="20"/>
                <w:lang w:eastAsia="zh-CN"/>
              </w:rPr>
              <w:t>the</w:t>
            </w:r>
            <w:r w:rsidRPr="00EA429D">
              <w:rPr>
                <w:rFonts w:cs="Arial"/>
                <w:sz w:val="20"/>
                <w:szCs w:val="20"/>
                <w:lang w:eastAsia="zh-CN"/>
              </w:rPr>
              <w:t xml:space="preserve"> discussion on constraining of reduced capabilities, and if deemed necessary, RAN1 can come back</w:t>
            </w:r>
          </w:p>
        </w:tc>
      </w:tr>
    </w:tbl>
    <w:p w14:paraId="1EF39474" w14:textId="77777777" w:rsidR="000951BE" w:rsidRDefault="000951BE" w:rsidP="000951BE">
      <w:pPr>
        <w:rPr>
          <w:lang w:val="en-GB" w:eastAsia="ja-JP"/>
        </w:rPr>
      </w:pPr>
    </w:p>
    <w:p w14:paraId="0192F9FD" w14:textId="7DE1643D" w:rsidR="000951BE" w:rsidRDefault="000951BE" w:rsidP="00F90B1A">
      <w:pPr>
        <w:jc w:val="both"/>
        <w:rPr>
          <w:lang w:val="en-GB" w:eastAsia="ja-JP"/>
        </w:rPr>
      </w:pPr>
      <w:r>
        <w:rPr>
          <w:lang w:val="en-GB" w:eastAsia="ja-JP"/>
        </w:rPr>
        <w:t xml:space="preserve">Constraining the use of reduced capabilities was also discussed in RAN2 during RAN2#114-e, and the following agreement was made </w:t>
      </w:r>
      <w:r>
        <w:rPr>
          <w:lang w:val="en-GB" w:eastAsia="ja-JP"/>
        </w:rPr>
        <w:fldChar w:fldCharType="begin"/>
      </w:r>
      <w:r>
        <w:rPr>
          <w:lang w:val="en-GB" w:eastAsia="ja-JP"/>
        </w:rPr>
        <w:instrText xml:space="preserve"> REF _Ref78279816 \r \h </w:instrText>
      </w:r>
      <w:r w:rsidR="00F90B1A">
        <w:rPr>
          <w:lang w:val="en-GB" w:eastAsia="ja-JP"/>
        </w:rPr>
        <w:instrText xml:space="preserve"> \* MERGEFORMAT </w:instrText>
      </w:r>
      <w:r>
        <w:rPr>
          <w:lang w:val="en-GB" w:eastAsia="ja-JP"/>
        </w:rPr>
      </w:r>
      <w:r>
        <w:rPr>
          <w:lang w:val="en-GB" w:eastAsia="ja-JP"/>
        </w:rPr>
        <w:fldChar w:fldCharType="separate"/>
      </w:r>
      <w:r w:rsidR="00AC4C36">
        <w:rPr>
          <w:lang w:val="en-GB" w:eastAsia="ja-JP"/>
        </w:rPr>
        <w:t>[3]</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0951BE" w14:paraId="02AF860E" w14:textId="77777777" w:rsidTr="00403255">
        <w:tc>
          <w:tcPr>
            <w:tcW w:w="9629" w:type="dxa"/>
          </w:tcPr>
          <w:p w14:paraId="7E8D1C33" w14:textId="77777777" w:rsidR="000951BE" w:rsidRDefault="000951BE" w:rsidP="00403255">
            <w:pPr>
              <w:pStyle w:val="Doc-text2"/>
              <w:ind w:left="0" w:firstLine="0"/>
              <w:rPr>
                <w:sz w:val="20"/>
                <w:szCs w:val="20"/>
                <w:lang w:val="en-GB"/>
              </w:rPr>
            </w:pPr>
            <w:r w:rsidRPr="00EA429D">
              <w:rPr>
                <w:sz w:val="20"/>
                <w:szCs w:val="20"/>
                <w:lang w:val="en-GB"/>
              </w:rPr>
              <w:t>Agreements:</w:t>
            </w:r>
          </w:p>
          <w:p w14:paraId="067FC0B3" w14:textId="77777777" w:rsidR="000951BE" w:rsidRPr="00EA429D" w:rsidRDefault="000951BE" w:rsidP="00403255">
            <w:pPr>
              <w:pStyle w:val="Doc-text2"/>
              <w:ind w:left="0" w:firstLine="0"/>
              <w:rPr>
                <w:rFonts w:eastAsia="Times New Roman" w:cs="Arial"/>
                <w:sz w:val="20"/>
                <w:szCs w:val="20"/>
                <w:lang w:val="en-GB" w:eastAsia="sv-SE"/>
              </w:rPr>
            </w:pPr>
            <w:r>
              <w:rPr>
                <w:sz w:val="20"/>
                <w:szCs w:val="20"/>
                <w:lang w:val="en-GB"/>
              </w:rPr>
              <w:t>[…]</w:t>
            </w:r>
          </w:p>
          <w:p w14:paraId="6E104EE4" w14:textId="77777777" w:rsidR="000951BE" w:rsidRPr="00EA429D" w:rsidRDefault="000951BE" w:rsidP="001744CF">
            <w:pPr>
              <w:pStyle w:val="Doc-text2"/>
              <w:numPr>
                <w:ilvl w:val="0"/>
                <w:numId w:val="16"/>
              </w:numPr>
              <w:tabs>
                <w:tab w:val="clear" w:pos="1622"/>
              </w:tabs>
              <w:spacing w:line="240" w:lineRule="auto"/>
              <w:rPr>
                <w:lang w:val="en-GB"/>
              </w:rPr>
            </w:pPr>
            <w:r w:rsidRPr="00EA429D">
              <w:rPr>
                <w:sz w:val="20"/>
                <w:szCs w:val="20"/>
                <w:lang w:val="en-GB"/>
              </w:rPr>
              <w:t>It is up to the network how to prevent RedCap UEs from using radio capabilities not intended for RedCap UEs (no specification impact is foreseen at least in RAN2. FFS whether something is needed from SA2/CT1)</w:t>
            </w:r>
          </w:p>
        </w:tc>
      </w:tr>
    </w:tbl>
    <w:p w14:paraId="22B67911" w14:textId="77777777" w:rsidR="000951BE" w:rsidRDefault="000951BE" w:rsidP="000951BE">
      <w:pPr>
        <w:rPr>
          <w:lang w:val="en-GB" w:eastAsia="ja-JP"/>
        </w:rPr>
      </w:pPr>
    </w:p>
    <w:p w14:paraId="4D4F3A93" w14:textId="77777777" w:rsidR="000951BE" w:rsidRDefault="000951BE" w:rsidP="00F90B1A">
      <w:pPr>
        <w:jc w:val="both"/>
        <w:rPr>
          <w:lang w:val="en-GB" w:eastAsia="ja-JP"/>
        </w:rPr>
      </w:pPr>
      <w:r>
        <w:rPr>
          <w:lang w:val="en-GB" w:eastAsia="ja-JP"/>
        </w:rPr>
        <w:lastRenderedPageBreak/>
        <w:t xml:space="preserve">Based on the above conclusion and agreement, no further discussion on constraining of reduced capabilities is needed in RAN1. </w:t>
      </w:r>
    </w:p>
    <w:p w14:paraId="68BB46ED" w14:textId="5224F441" w:rsidR="006A1959" w:rsidRPr="00B94EB4" w:rsidRDefault="000951BE" w:rsidP="006A1959">
      <w:pPr>
        <w:pStyle w:val="Observation"/>
      </w:pPr>
      <w:bookmarkStart w:id="13" w:name="_Toc84024296"/>
      <w:r>
        <w:t xml:space="preserve">We see no </w:t>
      </w:r>
      <w:r w:rsidR="007913C4">
        <w:t>reason</w:t>
      </w:r>
      <w:r>
        <w:t xml:space="preserve"> for RAN1 to come back to the discussion on constraining</w:t>
      </w:r>
      <w:r w:rsidR="007913C4">
        <w:t xml:space="preserve"> the use</w:t>
      </w:r>
      <w:r>
        <w:t xml:space="preserve"> the reduced capabilities.</w:t>
      </w:r>
      <w:bookmarkEnd w:id="13"/>
    </w:p>
    <w:p w14:paraId="2B2CB685" w14:textId="52EC3E76" w:rsidR="00E95143" w:rsidRDefault="00E95143" w:rsidP="00E95143">
      <w:pPr>
        <w:pStyle w:val="Heading1"/>
      </w:pPr>
      <w:bookmarkStart w:id="14" w:name="_Toc68636458"/>
      <w:bookmarkStart w:id="15" w:name="_Toc67669165"/>
      <w:bookmarkStart w:id="16" w:name="_Toc67770532"/>
      <w:bookmarkStart w:id="17" w:name="_Toc67669166"/>
      <w:bookmarkStart w:id="18" w:name="_Toc67669167"/>
      <w:bookmarkEnd w:id="14"/>
      <w:bookmarkEnd w:id="15"/>
      <w:bookmarkEnd w:id="16"/>
      <w:bookmarkEnd w:id="17"/>
      <w:bookmarkEnd w:id="18"/>
      <w:r w:rsidRPr="00B858F0">
        <w:t>3</w:t>
      </w:r>
      <w:r w:rsidRPr="00B858F0">
        <w:tab/>
      </w:r>
      <w:r w:rsidR="00CD00A0">
        <w:t>Early i</w:t>
      </w:r>
      <w:r w:rsidR="00727CB1">
        <w:t>ndication</w:t>
      </w:r>
      <w:r>
        <w:t xml:space="preserve"> of RedCap UEs</w:t>
      </w:r>
    </w:p>
    <w:p w14:paraId="4F7B8534" w14:textId="741C56BD" w:rsidR="00EB6CED" w:rsidRPr="00643E95" w:rsidRDefault="00AA54BE" w:rsidP="00572186">
      <w:pPr>
        <w:jc w:val="both"/>
        <w:rPr>
          <w:rFonts w:cs="Arial"/>
          <w:lang w:eastAsia="ja-JP"/>
        </w:rPr>
      </w:pPr>
      <w:r>
        <w:rPr>
          <w:szCs w:val="20"/>
          <w:lang w:val="en-GB" w:eastAsia="ja-JP"/>
        </w:rPr>
        <w:t>The</w:t>
      </w:r>
      <w:r w:rsidR="005A0D2F">
        <w:rPr>
          <w:szCs w:val="20"/>
          <w:lang w:val="en-GB" w:eastAsia="ja-JP"/>
        </w:rPr>
        <w:t xml:space="preserve"> early indication of RedCap UEs in Msg1 and/or Msg3</w:t>
      </w:r>
      <w:r w:rsidR="00CD00A0">
        <w:rPr>
          <w:szCs w:val="20"/>
          <w:lang w:val="en-GB" w:eastAsia="ja-JP"/>
        </w:rPr>
        <w:t xml:space="preserve"> (of 4-step RA</w:t>
      </w:r>
      <w:r w:rsidR="004A7062">
        <w:rPr>
          <w:szCs w:val="20"/>
          <w:lang w:val="en-GB" w:eastAsia="ja-JP"/>
        </w:rPr>
        <w:t>CH</w:t>
      </w:r>
      <w:r w:rsidR="00CD00A0">
        <w:rPr>
          <w:szCs w:val="20"/>
          <w:lang w:val="en-GB" w:eastAsia="ja-JP"/>
        </w:rPr>
        <w:t xml:space="preserve"> procedure)</w:t>
      </w:r>
      <w:r w:rsidR="005A0D2F">
        <w:rPr>
          <w:szCs w:val="20"/>
          <w:lang w:val="en-GB" w:eastAsia="ja-JP"/>
        </w:rPr>
        <w:t xml:space="preserve">, and MsgA </w:t>
      </w:r>
      <w:r w:rsidR="00CD00A0">
        <w:rPr>
          <w:szCs w:val="20"/>
          <w:lang w:val="en-GB" w:eastAsia="ja-JP"/>
        </w:rPr>
        <w:t>(of 2-step RA</w:t>
      </w:r>
      <w:r w:rsidR="004A7062">
        <w:rPr>
          <w:szCs w:val="20"/>
          <w:lang w:val="en-GB" w:eastAsia="ja-JP"/>
        </w:rPr>
        <w:t>CH</w:t>
      </w:r>
      <w:r w:rsidR="00CD00A0">
        <w:rPr>
          <w:szCs w:val="20"/>
          <w:lang w:val="en-GB" w:eastAsia="ja-JP"/>
        </w:rPr>
        <w:t xml:space="preserve"> procedure) </w:t>
      </w:r>
      <w:r w:rsidR="005A0D2F">
        <w:rPr>
          <w:szCs w:val="20"/>
          <w:lang w:val="en-GB" w:eastAsia="ja-JP"/>
        </w:rPr>
        <w:t xml:space="preserve">enables the network to handle RedCap UEs </w:t>
      </w:r>
      <w:r w:rsidR="005A0D2F">
        <w:rPr>
          <w:rFonts w:cs="Arial"/>
          <w:lang w:eastAsia="ja-JP"/>
        </w:rPr>
        <w:t xml:space="preserve">differently than non-RedCap UEs during initial access, i.e., before the UE capabilities are fully known. </w:t>
      </w:r>
    </w:p>
    <w:p w14:paraId="6639CD1C" w14:textId="334E2F18" w:rsidR="00643E95" w:rsidRDefault="00CD00A0" w:rsidP="00643E95">
      <w:pPr>
        <w:pStyle w:val="Heading2"/>
      </w:pPr>
      <w:r>
        <w:t>3.1</w:t>
      </w:r>
      <w:r w:rsidR="00727CB1">
        <w:tab/>
      </w:r>
      <w:r>
        <w:t xml:space="preserve">Early indication </w:t>
      </w:r>
      <w:r w:rsidR="00643E95">
        <w:t>in Msg1/Msg3 (</w:t>
      </w:r>
      <w:r w:rsidR="00727CB1">
        <w:t>4-step RA</w:t>
      </w:r>
      <w:r w:rsidR="001064BD">
        <w:t>CH</w:t>
      </w:r>
      <w:r w:rsidR="00643E95">
        <w:t>)</w:t>
      </w:r>
    </w:p>
    <w:p w14:paraId="34122D6C" w14:textId="2DC6A70C" w:rsidR="00E2429E" w:rsidRDefault="00643E95" w:rsidP="00E2429E">
      <w:pPr>
        <w:jc w:val="both"/>
        <w:rPr>
          <w:lang w:val="en-GB" w:eastAsia="ja-JP"/>
        </w:rPr>
      </w:pPr>
      <w:r>
        <w:rPr>
          <w:lang w:val="en-GB" w:eastAsia="ja-JP"/>
        </w:rPr>
        <w:t>W</w:t>
      </w:r>
      <w:r w:rsidR="00E2429E">
        <w:rPr>
          <w:lang w:val="en-GB" w:eastAsia="ja-JP"/>
        </w:rPr>
        <w:t>e have the following agreement and conclusion</w:t>
      </w:r>
      <w:r>
        <w:rPr>
          <w:lang w:val="en-GB" w:eastAsia="ja-JP"/>
        </w:rPr>
        <w:t xml:space="preserve"> related to Msg1 indication </w:t>
      </w:r>
      <w:r w:rsidR="00E2429E">
        <w:rPr>
          <w:lang w:val="en-GB" w:eastAsia="ja-JP"/>
        </w:rPr>
        <w:t>from RAN1#1</w:t>
      </w:r>
      <w:r w:rsidR="00AC4C36">
        <w:rPr>
          <w:lang w:val="en-GB" w:eastAsia="ja-JP"/>
        </w:rPr>
        <w:t>06</w:t>
      </w:r>
      <w:r w:rsidR="00E2429E">
        <w:rPr>
          <w:lang w:val="en-GB" w:eastAsia="ja-JP"/>
        </w:rPr>
        <w:t>-e</w:t>
      </w:r>
      <w:r w:rsidR="00AC4C36">
        <w:rPr>
          <w:lang w:val="en-GB" w:eastAsia="ja-JP"/>
        </w:rPr>
        <w:t xml:space="preserve"> </w:t>
      </w:r>
      <w:r w:rsidR="00AC4C36">
        <w:rPr>
          <w:lang w:val="en-GB" w:eastAsia="ja-JP"/>
        </w:rPr>
        <w:fldChar w:fldCharType="begin"/>
      </w:r>
      <w:r w:rsidR="00AC4C36">
        <w:rPr>
          <w:lang w:val="en-GB" w:eastAsia="ja-JP"/>
        </w:rPr>
        <w:instrText xml:space="preserve"> REF _Ref65144387 \r \h </w:instrText>
      </w:r>
      <w:r w:rsidR="00AC4C36">
        <w:rPr>
          <w:lang w:val="en-GB" w:eastAsia="ja-JP"/>
        </w:rPr>
      </w:r>
      <w:r w:rsidR="00AC4C36">
        <w:rPr>
          <w:lang w:val="en-GB" w:eastAsia="ja-JP"/>
        </w:rPr>
        <w:fldChar w:fldCharType="separate"/>
      </w:r>
      <w:r w:rsidR="00AC4C36">
        <w:rPr>
          <w:lang w:val="en-GB" w:eastAsia="ja-JP"/>
        </w:rPr>
        <w:t>[4]</w:t>
      </w:r>
      <w:r w:rsidR="00AC4C36">
        <w:rPr>
          <w:lang w:val="en-GB" w:eastAsia="ja-JP"/>
        </w:rPr>
        <w:fldChar w:fldCharType="end"/>
      </w:r>
      <w:r w:rsidR="00E2429E">
        <w:rPr>
          <w:lang w:val="en-GB" w:eastAsia="ja-JP"/>
        </w:rPr>
        <w:t>:</w:t>
      </w:r>
    </w:p>
    <w:tbl>
      <w:tblPr>
        <w:tblStyle w:val="TableGrid"/>
        <w:tblW w:w="0" w:type="auto"/>
        <w:tblLook w:val="04A0" w:firstRow="1" w:lastRow="0" w:firstColumn="1" w:lastColumn="0" w:noHBand="0" w:noVBand="1"/>
      </w:tblPr>
      <w:tblGrid>
        <w:gridCol w:w="9629"/>
      </w:tblGrid>
      <w:tr w:rsidR="00E2429E" w14:paraId="56363408" w14:textId="77777777" w:rsidTr="00E2429E">
        <w:tc>
          <w:tcPr>
            <w:tcW w:w="9629" w:type="dxa"/>
          </w:tcPr>
          <w:p w14:paraId="7876FD68" w14:textId="77777777" w:rsidR="00E2429E" w:rsidRPr="00E2429E" w:rsidRDefault="00E2429E" w:rsidP="00E2429E">
            <w:pPr>
              <w:jc w:val="both"/>
              <w:rPr>
                <w:rFonts w:cs="Arial"/>
                <w:sz w:val="20"/>
                <w:szCs w:val="20"/>
                <w:highlight w:val="green"/>
                <w:lang w:eastAsia="ja-JP"/>
              </w:rPr>
            </w:pPr>
            <w:r w:rsidRPr="00E2429E">
              <w:rPr>
                <w:rFonts w:cs="Arial"/>
                <w:sz w:val="20"/>
                <w:szCs w:val="20"/>
                <w:highlight w:val="green"/>
                <w:lang w:eastAsia="ja-JP"/>
              </w:rPr>
              <w:t>Agreements:</w:t>
            </w:r>
          </w:p>
          <w:p w14:paraId="07E46B35" w14:textId="77777777" w:rsidR="00E2429E" w:rsidRPr="00E2429E" w:rsidRDefault="00E2429E" w:rsidP="00E2429E">
            <w:pPr>
              <w:spacing w:line="252" w:lineRule="auto"/>
              <w:contextualSpacing/>
              <w:rPr>
                <w:rFonts w:cs="Arial"/>
                <w:sz w:val="20"/>
                <w:szCs w:val="20"/>
              </w:rPr>
            </w:pPr>
            <w:r w:rsidRPr="00E2429E">
              <w:rPr>
                <w:rFonts w:cs="Arial"/>
                <w:bCs/>
                <w:sz w:val="20"/>
                <w:szCs w:val="20"/>
              </w:rPr>
              <w:t>Confirm the following working assumption with the modifications in red:</w:t>
            </w:r>
          </w:p>
          <w:p w14:paraId="60F17D6F" w14:textId="77777777" w:rsidR="00E2429E" w:rsidRPr="00E2429E" w:rsidRDefault="00E2429E" w:rsidP="001744CF">
            <w:pPr>
              <w:numPr>
                <w:ilvl w:val="0"/>
                <w:numId w:val="17"/>
              </w:numPr>
              <w:spacing w:after="0" w:line="252" w:lineRule="auto"/>
              <w:contextualSpacing/>
              <w:rPr>
                <w:rFonts w:cs="Arial"/>
                <w:sz w:val="20"/>
                <w:szCs w:val="20"/>
              </w:rPr>
            </w:pPr>
            <w:r w:rsidRPr="00E2429E">
              <w:rPr>
                <w:rFonts w:cs="Arial"/>
                <w:sz w:val="20"/>
                <w:szCs w:val="20"/>
              </w:rPr>
              <w:t>For 4-step RACH, support the early indication of RedCap UEs at least in Msg1.</w:t>
            </w:r>
          </w:p>
          <w:p w14:paraId="2B65F978" w14:textId="77777777" w:rsidR="00E2429E" w:rsidRPr="00E2429E" w:rsidRDefault="00E2429E" w:rsidP="001744CF">
            <w:pPr>
              <w:numPr>
                <w:ilvl w:val="1"/>
                <w:numId w:val="17"/>
              </w:numPr>
              <w:spacing w:after="0" w:line="252" w:lineRule="auto"/>
              <w:jc w:val="both"/>
              <w:rPr>
                <w:rFonts w:eastAsia="Times New Roman" w:cs="Arial"/>
                <w:sz w:val="20"/>
                <w:szCs w:val="20"/>
              </w:rPr>
            </w:pPr>
            <w:r w:rsidRPr="00E2429E">
              <w:rPr>
                <w:rFonts w:eastAsia="Times New Roman" w:cs="Arial"/>
                <w:sz w:val="20"/>
                <w:szCs w:val="20"/>
              </w:rPr>
              <w:t>The early indication in Msg1 can be configured to be enabled/disabled</w:t>
            </w:r>
            <w:r w:rsidRPr="00E2429E">
              <w:rPr>
                <w:rFonts w:eastAsia="Times New Roman" w:cs="Arial"/>
                <w:color w:val="FF0000"/>
                <w:sz w:val="20"/>
                <w:szCs w:val="20"/>
                <w:u w:val="single"/>
              </w:rPr>
              <w:t xml:space="preserve"> via SIB</w:t>
            </w:r>
          </w:p>
          <w:p w14:paraId="02204AE3" w14:textId="77777777" w:rsidR="00E2429E" w:rsidRPr="00E2429E" w:rsidRDefault="00E2429E" w:rsidP="001744CF">
            <w:pPr>
              <w:numPr>
                <w:ilvl w:val="2"/>
                <w:numId w:val="17"/>
              </w:numPr>
              <w:spacing w:after="0" w:line="252" w:lineRule="auto"/>
              <w:jc w:val="both"/>
              <w:rPr>
                <w:rFonts w:eastAsia="Times New Roman" w:cs="Arial"/>
                <w:strike/>
                <w:sz w:val="20"/>
                <w:szCs w:val="20"/>
              </w:rPr>
            </w:pPr>
            <w:r w:rsidRPr="00E2429E">
              <w:rPr>
                <w:rFonts w:eastAsia="Times New Roman" w:cs="Arial"/>
                <w:strike/>
                <w:color w:val="FF0000"/>
                <w:sz w:val="20"/>
                <w:szCs w:val="20"/>
              </w:rPr>
              <w:t>FFS how to support enable/disable the early indication</w:t>
            </w:r>
          </w:p>
          <w:p w14:paraId="2BE59539" w14:textId="77777777" w:rsidR="00E2429E" w:rsidRPr="00E2429E" w:rsidRDefault="00E2429E" w:rsidP="001744CF">
            <w:pPr>
              <w:numPr>
                <w:ilvl w:val="1"/>
                <w:numId w:val="17"/>
              </w:numPr>
              <w:spacing w:after="0" w:line="252" w:lineRule="auto"/>
              <w:jc w:val="both"/>
              <w:rPr>
                <w:rFonts w:eastAsia="Times New Roman" w:cs="Arial"/>
                <w:sz w:val="20"/>
                <w:szCs w:val="20"/>
              </w:rPr>
            </w:pPr>
            <w:r w:rsidRPr="00E2429E">
              <w:rPr>
                <w:rFonts w:eastAsia="Times New Roman" w:cs="Arial"/>
                <w:strike/>
                <w:color w:val="FF0000"/>
                <w:sz w:val="20"/>
                <w:szCs w:val="20"/>
              </w:rPr>
              <w:t>FFS details e.g.:</w:t>
            </w:r>
            <w:r w:rsidRPr="00E2429E">
              <w:rPr>
                <w:rFonts w:eastAsia="Times New Roman" w:cs="Arial"/>
                <w:strike/>
                <w:sz w:val="20"/>
                <w:szCs w:val="20"/>
              </w:rPr>
              <w:t xml:space="preserve"> </w:t>
            </w:r>
            <w:r w:rsidRPr="00E2429E">
              <w:rPr>
                <w:rFonts w:eastAsia="Times New Roman" w:cs="Arial"/>
                <w:color w:val="FF0000"/>
                <w:sz w:val="20"/>
                <w:szCs w:val="20"/>
                <w:u w:val="single"/>
              </w:rPr>
              <w:t xml:space="preserve">From RAN1 perspective, the following methods can be used for early indication both for shared initial UL BWP and </w:t>
            </w:r>
            <w:r w:rsidRPr="00E2429E">
              <w:rPr>
                <w:rFonts w:eastAsia="Times New Roman" w:cs="Arial"/>
                <w:sz w:val="20"/>
                <w:szCs w:val="20"/>
              </w:rPr>
              <w:t xml:space="preserve">separate initial UL BWP </w:t>
            </w:r>
            <w:r w:rsidRPr="00E2429E">
              <w:rPr>
                <w:rFonts w:eastAsia="Times New Roman" w:cs="Arial"/>
                <w:color w:val="FF0000"/>
                <w:sz w:val="20"/>
                <w:szCs w:val="20"/>
                <w:u w:val="single"/>
              </w:rPr>
              <w:t>(if supported)</w:t>
            </w:r>
          </w:p>
          <w:p w14:paraId="219A6C60" w14:textId="77777777" w:rsidR="00E2429E" w:rsidRPr="00E2429E" w:rsidRDefault="00E2429E" w:rsidP="001744CF">
            <w:pPr>
              <w:numPr>
                <w:ilvl w:val="2"/>
                <w:numId w:val="17"/>
              </w:numPr>
              <w:spacing w:after="0" w:line="252" w:lineRule="auto"/>
              <w:jc w:val="both"/>
              <w:rPr>
                <w:rFonts w:eastAsia="Times New Roman" w:cs="Arial"/>
                <w:sz w:val="20"/>
                <w:szCs w:val="20"/>
              </w:rPr>
            </w:pPr>
            <w:r w:rsidRPr="00E2429E">
              <w:rPr>
                <w:rFonts w:eastAsia="Times New Roman" w:cs="Arial"/>
                <w:sz w:val="20"/>
                <w:szCs w:val="20"/>
              </w:rPr>
              <w:t>separate PRACH resource</w:t>
            </w:r>
          </w:p>
          <w:p w14:paraId="3C3C5FFD" w14:textId="77777777" w:rsidR="00E2429E" w:rsidRPr="00E2429E" w:rsidRDefault="00E2429E" w:rsidP="001744CF">
            <w:pPr>
              <w:numPr>
                <w:ilvl w:val="2"/>
                <w:numId w:val="17"/>
              </w:numPr>
              <w:spacing w:after="0" w:line="252" w:lineRule="auto"/>
              <w:jc w:val="both"/>
              <w:rPr>
                <w:rFonts w:eastAsia="Times New Roman" w:cs="Arial"/>
                <w:sz w:val="20"/>
                <w:szCs w:val="20"/>
              </w:rPr>
            </w:pPr>
            <w:r w:rsidRPr="00E2429E">
              <w:rPr>
                <w:rFonts w:eastAsia="Times New Roman" w:cs="Arial"/>
                <w:sz w:val="20"/>
                <w:szCs w:val="20"/>
              </w:rPr>
              <w:t>PRACH preamble partitioning</w:t>
            </w:r>
          </w:p>
          <w:p w14:paraId="733B40D4" w14:textId="77777777" w:rsidR="00E2429E" w:rsidRPr="00E2429E" w:rsidRDefault="00E2429E" w:rsidP="001744CF">
            <w:pPr>
              <w:numPr>
                <w:ilvl w:val="2"/>
                <w:numId w:val="17"/>
              </w:numPr>
              <w:spacing w:after="0" w:line="252" w:lineRule="auto"/>
              <w:jc w:val="both"/>
              <w:rPr>
                <w:rFonts w:eastAsia="Times New Roman" w:cs="Arial"/>
                <w:strike/>
                <w:color w:val="FF0000"/>
                <w:sz w:val="20"/>
                <w:szCs w:val="20"/>
                <w:u w:val="single"/>
              </w:rPr>
            </w:pPr>
            <w:r w:rsidRPr="00E2429E">
              <w:rPr>
                <w:rFonts w:eastAsia="Yu Mincho" w:cs="Arial"/>
                <w:strike/>
                <w:color w:val="FF0000"/>
                <w:sz w:val="20"/>
                <w:szCs w:val="20"/>
                <w:u w:val="single"/>
                <w:lang w:eastAsia="ja-JP"/>
              </w:rPr>
              <w:t>FFS: whether/how to address RA-RNTI overlapping issue</w:t>
            </w:r>
          </w:p>
          <w:p w14:paraId="4332EFA4" w14:textId="77777777" w:rsidR="00E2429E" w:rsidRPr="00E2429E" w:rsidRDefault="00E2429E" w:rsidP="001744CF">
            <w:pPr>
              <w:numPr>
                <w:ilvl w:val="1"/>
                <w:numId w:val="17"/>
              </w:numPr>
              <w:spacing w:after="0" w:line="252" w:lineRule="auto"/>
              <w:jc w:val="both"/>
              <w:rPr>
                <w:rFonts w:eastAsia="Times New Roman" w:cs="Arial"/>
                <w:strike/>
                <w:color w:val="FF0000"/>
                <w:sz w:val="20"/>
                <w:szCs w:val="20"/>
              </w:rPr>
            </w:pPr>
            <w:r w:rsidRPr="00E2429E">
              <w:rPr>
                <w:rFonts w:eastAsia="Times New Roman" w:cs="Arial"/>
                <w:strike/>
                <w:color w:val="FF0000"/>
                <w:sz w:val="20"/>
                <w:szCs w:val="20"/>
              </w:rPr>
              <w:t xml:space="preserve">FFS the possibility of supporting Msg3 for the early indication </w:t>
            </w:r>
          </w:p>
          <w:p w14:paraId="14202C57" w14:textId="77777777" w:rsidR="00E2429E" w:rsidRPr="00E2429E" w:rsidRDefault="00E2429E" w:rsidP="00E2429E">
            <w:pPr>
              <w:spacing w:line="252" w:lineRule="auto"/>
              <w:contextualSpacing/>
              <w:rPr>
                <w:rFonts w:cs="Arial"/>
                <w:bCs/>
                <w:sz w:val="20"/>
                <w:szCs w:val="20"/>
              </w:rPr>
            </w:pPr>
            <w:r w:rsidRPr="00E2429E">
              <w:rPr>
                <w:rFonts w:cs="Arial"/>
                <w:bCs/>
                <w:sz w:val="20"/>
                <w:szCs w:val="20"/>
              </w:rPr>
              <w:t>Whether/how to support early indication of RedCap UEs in Msg3 in Rel-17 is up to RAN2.</w:t>
            </w:r>
          </w:p>
          <w:p w14:paraId="3151BD34" w14:textId="77777777" w:rsidR="00E2429E" w:rsidRPr="00E2429E" w:rsidRDefault="00E2429E" w:rsidP="00E2429E">
            <w:pPr>
              <w:spacing w:line="252" w:lineRule="auto"/>
              <w:contextualSpacing/>
              <w:rPr>
                <w:rFonts w:cs="Arial"/>
                <w:bCs/>
                <w:sz w:val="20"/>
                <w:szCs w:val="20"/>
              </w:rPr>
            </w:pPr>
          </w:p>
          <w:p w14:paraId="27D44531" w14:textId="77777777" w:rsidR="00E2429E" w:rsidRPr="00E2429E" w:rsidRDefault="00E2429E" w:rsidP="00E2429E">
            <w:pPr>
              <w:spacing w:line="252" w:lineRule="auto"/>
              <w:contextualSpacing/>
              <w:rPr>
                <w:rFonts w:cs="Arial"/>
                <w:bCs/>
                <w:sz w:val="20"/>
                <w:szCs w:val="20"/>
              </w:rPr>
            </w:pPr>
            <w:r w:rsidRPr="00E2429E">
              <w:rPr>
                <w:rFonts w:cs="Arial"/>
                <w:bCs/>
                <w:sz w:val="20"/>
                <w:szCs w:val="20"/>
              </w:rPr>
              <w:t>Conclusion</w:t>
            </w:r>
          </w:p>
          <w:p w14:paraId="290C4169" w14:textId="156F1F5A" w:rsidR="00E2429E" w:rsidRDefault="00E2429E" w:rsidP="00E2429E">
            <w:pPr>
              <w:rPr>
                <w:lang w:val="en-GB" w:eastAsia="ja-JP"/>
              </w:rPr>
            </w:pPr>
            <w:r w:rsidRPr="00E2429E">
              <w:rPr>
                <w:rFonts w:cs="Arial"/>
                <w:bCs/>
                <w:sz w:val="20"/>
                <w:szCs w:val="20"/>
              </w:rPr>
              <w:t>Whether there is RA-RNTI overlapping issue and how to address RA-RNTI overlapping issue in the early indication of RedCap UEs in Msg1 in Rel-17 is up to RAN2</w:t>
            </w:r>
          </w:p>
        </w:tc>
      </w:tr>
    </w:tbl>
    <w:p w14:paraId="6E849265" w14:textId="0B283A40" w:rsidR="00E2429E" w:rsidRDefault="00E2429E" w:rsidP="00E2429E">
      <w:pPr>
        <w:rPr>
          <w:lang w:val="en-GB" w:eastAsia="ja-JP"/>
        </w:rPr>
      </w:pPr>
    </w:p>
    <w:p w14:paraId="7D34D6C6" w14:textId="22B125B8" w:rsidR="001744CF" w:rsidRDefault="00A736D1" w:rsidP="001744CF">
      <w:pPr>
        <w:jc w:val="both"/>
        <w:rPr>
          <w:rFonts w:cs="Arial"/>
          <w:lang w:val="en-GB" w:eastAsia="ja-JP"/>
        </w:rPr>
      </w:pPr>
      <w:r>
        <w:rPr>
          <w:lang w:eastAsia="ja-JP"/>
        </w:rPr>
        <w:t>Considering</w:t>
      </w:r>
      <w:r w:rsidR="0090308B">
        <w:rPr>
          <w:lang w:eastAsia="ja-JP"/>
        </w:rPr>
        <w:t xml:space="preserve"> the above, i</w:t>
      </w:r>
      <w:r w:rsidR="001744CF">
        <w:rPr>
          <w:lang w:eastAsia="ja-JP"/>
        </w:rPr>
        <w:t xml:space="preserve">n our view, there are no remaining open issues to be discussed </w:t>
      </w:r>
      <w:r w:rsidR="0090308B">
        <w:rPr>
          <w:lang w:eastAsia="ja-JP"/>
        </w:rPr>
        <w:t xml:space="preserve">in RAN1 </w:t>
      </w:r>
      <w:r w:rsidR="001744CF" w:rsidRPr="0049695D">
        <w:rPr>
          <w:rFonts w:cs="Arial"/>
          <w:lang w:val="en-GB" w:eastAsia="ja-JP"/>
        </w:rPr>
        <w:t xml:space="preserve">on </w:t>
      </w:r>
      <w:r w:rsidR="001744CF" w:rsidRPr="001744CF">
        <w:rPr>
          <w:rFonts w:cs="Arial"/>
          <w:lang w:val="en-GB" w:eastAsia="ja-JP"/>
        </w:rPr>
        <w:t xml:space="preserve">the early indication </w:t>
      </w:r>
      <w:r w:rsidR="001744CF">
        <w:rPr>
          <w:rFonts w:cs="Arial"/>
          <w:lang w:val="en-GB" w:eastAsia="ja-JP"/>
        </w:rPr>
        <w:t xml:space="preserve">of RedCap UEs </w:t>
      </w:r>
      <w:r w:rsidR="001744CF" w:rsidRPr="001744CF">
        <w:rPr>
          <w:rFonts w:cs="Arial"/>
          <w:lang w:val="en-GB" w:eastAsia="ja-JP"/>
        </w:rPr>
        <w:t>in Msg1</w:t>
      </w:r>
      <w:r w:rsidR="001744CF">
        <w:rPr>
          <w:rFonts w:cs="Arial"/>
          <w:lang w:val="en-GB" w:eastAsia="ja-JP"/>
        </w:rPr>
        <w:t>. Therefore, we propose the following:</w:t>
      </w:r>
    </w:p>
    <w:p w14:paraId="53FCEECC" w14:textId="0FE4C197" w:rsidR="00643E95" w:rsidRPr="002351BA" w:rsidRDefault="0090308B" w:rsidP="007913C4">
      <w:pPr>
        <w:pStyle w:val="Observation"/>
      </w:pPr>
      <w:bookmarkStart w:id="19" w:name="_Toc79162844"/>
      <w:bookmarkStart w:id="20" w:name="_Toc84024297"/>
      <w:r>
        <w:rPr>
          <w:lang w:val="en-GB"/>
        </w:rPr>
        <w:t xml:space="preserve">The early indication of RedCap UEs in Msg1 </w:t>
      </w:r>
      <w:r w:rsidR="007E4DFE">
        <w:rPr>
          <w:lang w:val="en-GB"/>
        </w:rPr>
        <w:t xml:space="preserve">for 4-step RACH </w:t>
      </w:r>
      <w:r w:rsidR="007913C4">
        <w:rPr>
          <w:lang w:val="en-GB"/>
        </w:rPr>
        <w:t>should</w:t>
      </w:r>
      <w:r>
        <w:rPr>
          <w:lang w:val="en-GB"/>
        </w:rPr>
        <w:t xml:space="preserve"> </w:t>
      </w:r>
      <w:r w:rsidR="009950F4">
        <w:rPr>
          <w:lang w:val="en-GB"/>
        </w:rPr>
        <w:t>not</w:t>
      </w:r>
      <w:r w:rsidR="007913C4">
        <w:rPr>
          <w:lang w:val="en-GB"/>
        </w:rPr>
        <w:t xml:space="preserve"> be</w:t>
      </w:r>
      <w:r w:rsidR="009950F4">
        <w:rPr>
          <w:lang w:val="en-GB"/>
        </w:rPr>
        <w:t xml:space="preserve"> </w:t>
      </w:r>
      <w:r w:rsidR="00266BD2">
        <w:rPr>
          <w:lang w:val="en-GB"/>
        </w:rPr>
        <w:t>discussed</w:t>
      </w:r>
      <w:r>
        <w:rPr>
          <w:lang w:val="en-GB"/>
        </w:rPr>
        <w:t xml:space="preserve"> </w:t>
      </w:r>
      <w:r w:rsidR="001744CF">
        <w:t xml:space="preserve">further in </w:t>
      </w:r>
      <w:r w:rsidR="009950F4">
        <w:t xml:space="preserve">RAN1 in </w:t>
      </w:r>
      <w:r w:rsidR="001744CF">
        <w:t>the Rel-17 RedCap WI</w:t>
      </w:r>
      <w:r w:rsidR="009950F4">
        <w:t>, unless triggered by RAN2</w:t>
      </w:r>
      <w:r w:rsidR="001744CF">
        <w:t>.</w:t>
      </w:r>
      <w:bookmarkEnd w:id="19"/>
      <w:bookmarkEnd w:id="20"/>
    </w:p>
    <w:p w14:paraId="5FE000B1" w14:textId="4466D92E" w:rsidR="00643E95" w:rsidRDefault="009B2B63" w:rsidP="00643E95">
      <w:pPr>
        <w:jc w:val="both"/>
        <w:rPr>
          <w:rFonts w:cs="Arial"/>
          <w:lang w:eastAsia="ja-JP"/>
        </w:rPr>
      </w:pPr>
      <w:r>
        <w:rPr>
          <w:rFonts w:cs="Arial"/>
          <w:lang w:eastAsia="ja-JP"/>
        </w:rPr>
        <w:t>Regarding early indication of RedCap UEs in Msg3</w:t>
      </w:r>
      <w:r w:rsidR="00643E95">
        <w:rPr>
          <w:rFonts w:cs="Arial"/>
          <w:lang w:eastAsia="ja-JP"/>
        </w:rPr>
        <w:t xml:space="preserve">, RAN2 has agreed to support </w:t>
      </w:r>
      <w:r>
        <w:rPr>
          <w:rFonts w:cs="Arial"/>
          <w:lang w:eastAsia="ja-JP"/>
        </w:rPr>
        <w:t>this feature during RAN2#115-e</w:t>
      </w:r>
      <w:r w:rsidR="00643E95">
        <w:rPr>
          <w:rFonts w:cs="Arial"/>
          <w:lang w:eastAsia="ja-JP"/>
        </w:rPr>
        <w:t xml:space="preserve"> (the agreement is copied below </w:t>
      </w:r>
      <w:r w:rsidR="00E02161">
        <w:rPr>
          <w:rFonts w:cs="Arial"/>
          <w:lang w:eastAsia="ja-JP"/>
        </w:rPr>
        <w:fldChar w:fldCharType="begin"/>
      </w:r>
      <w:r w:rsidR="00E02161">
        <w:rPr>
          <w:rFonts w:cs="Arial"/>
          <w:lang w:eastAsia="ja-JP"/>
        </w:rPr>
        <w:instrText xml:space="preserve"> REF _Ref83120218 \r \h </w:instrText>
      </w:r>
      <w:r w:rsidR="00E02161">
        <w:rPr>
          <w:rFonts w:cs="Arial"/>
          <w:lang w:eastAsia="ja-JP"/>
        </w:rPr>
      </w:r>
      <w:r w:rsidR="00E02161">
        <w:rPr>
          <w:rFonts w:cs="Arial"/>
          <w:lang w:eastAsia="ja-JP"/>
        </w:rPr>
        <w:fldChar w:fldCharType="separate"/>
      </w:r>
      <w:r w:rsidR="00E02161">
        <w:rPr>
          <w:rFonts w:cs="Arial"/>
          <w:lang w:eastAsia="ja-JP"/>
        </w:rPr>
        <w:t>[5]</w:t>
      </w:r>
      <w:r w:rsidR="00E02161">
        <w:rPr>
          <w:rFonts w:cs="Arial"/>
          <w:lang w:eastAsia="ja-JP"/>
        </w:rPr>
        <w:fldChar w:fldCharType="end"/>
      </w:r>
      <w:r w:rsidR="00643E95">
        <w:rPr>
          <w:rFonts w:cs="Arial"/>
          <w:lang w:eastAsia="ja-JP"/>
        </w:rPr>
        <w:t>). Therefore, this matter will not be discussed further in this contribution.</w:t>
      </w:r>
    </w:p>
    <w:tbl>
      <w:tblPr>
        <w:tblStyle w:val="TableGrid"/>
        <w:tblW w:w="0" w:type="auto"/>
        <w:tblLook w:val="04A0" w:firstRow="1" w:lastRow="0" w:firstColumn="1" w:lastColumn="0" w:noHBand="0" w:noVBand="1"/>
      </w:tblPr>
      <w:tblGrid>
        <w:gridCol w:w="9629"/>
      </w:tblGrid>
      <w:tr w:rsidR="00643E95" w14:paraId="6E623C8F" w14:textId="77777777" w:rsidTr="00403255">
        <w:tc>
          <w:tcPr>
            <w:tcW w:w="9629" w:type="dxa"/>
          </w:tcPr>
          <w:p w14:paraId="2F875F2B" w14:textId="77777777" w:rsidR="00643E95" w:rsidRPr="00EB6CED" w:rsidRDefault="00643E95" w:rsidP="00403255">
            <w:pPr>
              <w:rPr>
                <w:rFonts w:cs="Arial"/>
                <w:sz w:val="20"/>
                <w:szCs w:val="20"/>
              </w:rPr>
            </w:pPr>
            <w:r w:rsidRPr="00EB6CED">
              <w:rPr>
                <w:rFonts w:cs="Arial"/>
                <w:sz w:val="20"/>
                <w:szCs w:val="20"/>
              </w:rPr>
              <w:t>Agreements online:</w:t>
            </w:r>
          </w:p>
          <w:p w14:paraId="775AB86E" w14:textId="77777777" w:rsidR="00643E95" w:rsidRPr="00EB6CED" w:rsidRDefault="00643E95" w:rsidP="00403255">
            <w:pPr>
              <w:pStyle w:val="ListParagraph"/>
              <w:widowControl w:val="0"/>
              <w:numPr>
                <w:ilvl w:val="0"/>
                <w:numId w:val="19"/>
              </w:numPr>
              <w:spacing w:line="240" w:lineRule="auto"/>
              <w:jc w:val="both"/>
              <w:rPr>
                <w:rFonts w:ascii="Times New Roman" w:hAnsi="Times New Roman"/>
                <w:sz w:val="20"/>
                <w:szCs w:val="20"/>
              </w:rPr>
            </w:pPr>
            <w:r w:rsidRPr="00EB6CED">
              <w:rPr>
                <w:rFonts w:ascii="Arial" w:hAnsi="Arial" w:cs="Arial"/>
                <w:sz w:val="20"/>
                <w:szCs w:val="20"/>
              </w:rPr>
              <w:t>A Msg3 early identification based on dedicated LCID is supported (if SA3 confirms there is no problem)</w:t>
            </w:r>
          </w:p>
        </w:tc>
      </w:tr>
    </w:tbl>
    <w:p w14:paraId="6F495CB8" w14:textId="2B487766" w:rsidR="00643E95" w:rsidRDefault="00643E95" w:rsidP="00E2429E">
      <w:pPr>
        <w:rPr>
          <w:lang w:val="en-GB" w:eastAsia="ja-JP"/>
        </w:rPr>
      </w:pPr>
    </w:p>
    <w:p w14:paraId="1619525C" w14:textId="271B8945" w:rsidR="00643E95" w:rsidRPr="00643E95" w:rsidRDefault="00643E95" w:rsidP="00E2429E">
      <w:pPr>
        <w:pStyle w:val="Observation"/>
      </w:pPr>
      <w:bookmarkStart w:id="21" w:name="_Toc84024298"/>
      <w:r>
        <w:t xml:space="preserve">RAN2 has agreed to support the early indication of RedCap UEs in Msg3 based on </w:t>
      </w:r>
      <w:r w:rsidR="00A736D1">
        <w:t>dedicated (</w:t>
      </w:r>
      <w:r>
        <w:t>RedCap-specific</w:t>
      </w:r>
      <w:r w:rsidR="00A736D1">
        <w:t>)</w:t>
      </w:r>
      <w:r>
        <w:t xml:space="preserve"> LCID.</w:t>
      </w:r>
      <w:bookmarkEnd w:id="21"/>
      <w:r>
        <w:t xml:space="preserve"> </w:t>
      </w:r>
    </w:p>
    <w:p w14:paraId="3A4C08F8" w14:textId="79424C69" w:rsidR="008D57F8" w:rsidRDefault="008D57F8" w:rsidP="008D57F8">
      <w:pPr>
        <w:pStyle w:val="Heading2"/>
      </w:pPr>
      <w:r w:rsidRPr="00835894">
        <w:rPr>
          <w:rFonts w:cs="Arial"/>
        </w:rPr>
        <w:t>3.</w:t>
      </w:r>
      <w:r>
        <w:rPr>
          <w:rFonts w:cs="Arial"/>
        </w:rPr>
        <w:t>3</w:t>
      </w:r>
      <w:r w:rsidRPr="00835894">
        <w:rPr>
          <w:rFonts w:cs="Arial"/>
        </w:rPr>
        <w:tab/>
      </w:r>
      <w:r>
        <w:t>Early indication in MsgA (2-step RA</w:t>
      </w:r>
      <w:r w:rsidR="005F7A00">
        <w:t>CH</w:t>
      </w:r>
      <w:r>
        <w:t>)</w:t>
      </w:r>
    </w:p>
    <w:p w14:paraId="36B6C42A" w14:textId="3E47F32B" w:rsidR="00593DDE" w:rsidRDefault="00593DDE" w:rsidP="00593DDE">
      <w:pPr>
        <w:jc w:val="both"/>
        <w:rPr>
          <w:rFonts w:cs="Arial"/>
          <w:szCs w:val="20"/>
          <w:lang w:val="en-GB" w:eastAsia="ja-JP"/>
        </w:rPr>
      </w:pPr>
      <w:r>
        <w:rPr>
          <w:rFonts w:cs="Arial"/>
          <w:szCs w:val="20"/>
          <w:lang w:val="en-GB" w:eastAsia="ja-JP"/>
        </w:rPr>
        <w:t xml:space="preserve">The </w:t>
      </w:r>
      <w:r w:rsidRPr="00835894">
        <w:rPr>
          <w:rFonts w:cs="Arial"/>
          <w:szCs w:val="20"/>
          <w:lang w:val="en-GB" w:eastAsia="ja-JP"/>
        </w:rPr>
        <w:t xml:space="preserve">RedCap UEs </w:t>
      </w:r>
      <w:r>
        <w:rPr>
          <w:rFonts w:cs="Arial"/>
          <w:szCs w:val="20"/>
          <w:lang w:val="en-GB" w:eastAsia="ja-JP"/>
        </w:rPr>
        <w:t xml:space="preserve">will </w:t>
      </w:r>
      <w:r w:rsidRPr="00835894">
        <w:rPr>
          <w:rFonts w:cs="Arial"/>
          <w:szCs w:val="20"/>
          <w:lang w:val="en-GB" w:eastAsia="ja-JP"/>
        </w:rPr>
        <w:t>support 2-step RA</w:t>
      </w:r>
      <w:r>
        <w:rPr>
          <w:rFonts w:cs="Arial"/>
          <w:szCs w:val="20"/>
          <w:lang w:val="en-GB" w:eastAsia="ja-JP"/>
        </w:rPr>
        <w:t>CH</w:t>
      </w:r>
      <w:r w:rsidRPr="00835894">
        <w:rPr>
          <w:rFonts w:cs="Arial"/>
          <w:szCs w:val="20"/>
          <w:lang w:val="en-GB" w:eastAsia="ja-JP"/>
        </w:rPr>
        <w:t xml:space="preserve"> procedure</w:t>
      </w:r>
      <w:r>
        <w:rPr>
          <w:rFonts w:cs="Arial"/>
          <w:szCs w:val="20"/>
          <w:lang w:val="en-GB" w:eastAsia="ja-JP"/>
        </w:rPr>
        <w:t xml:space="preserve"> as an optional feature (see agreement from RAN1#105-e copied below</w:t>
      </w:r>
      <w:r w:rsidR="00E02161">
        <w:rPr>
          <w:rFonts w:cs="Arial"/>
          <w:szCs w:val="20"/>
          <w:lang w:val="en-GB" w:eastAsia="ja-JP"/>
        </w:rPr>
        <w:t xml:space="preserve"> </w:t>
      </w:r>
      <w:r w:rsidR="00E02161">
        <w:rPr>
          <w:rFonts w:cs="Arial"/>
          <w:szCs w:val="20"/>
          <w:lang w:val="en-GB" w:eastAsia="ja-JP"/>
        </w:rPr>
        <w:fldChar w:fldCharType="begin"/>
      </w:r>
      <w:r w:rsidR="00E02161">
        <w:rPr>
          <w:rFonts w:cs="Arial"/>
          <w:szCs w:val="20"/>
          <w:lang w:val="en-GB" w:eastAsia="ja-JP"/>
        </w:rPr>
        <w:instrText xml:space="preserve"> REF _Ref65144387 \r \h </w:instrText>
      </w:r>
      <w:r w:rsidR="00E02161">
        <w:rPr>
          <w:rFonts w:cs="Arial"/>
          <w:szCs w:val="20"/>
          <w:lang w:val="en-GB" w:eastAsia="ja-JP"/>
        </w:rPr>
      </w:r>
      <w:r w:rsidR="00E02161">
        <w:rPr>
          <w:rFonts w:cs="Arial"/>
          <w:szCs w:val="20"/>
          <w:lang w:val="en-GB" w:eastAsia="ja-JP"/>
        </w:rPr>
        <w:fldChar w:fldCharType="separate"/>
      </w:r>
      <w:r w:rsidR="00E02161">
        <w:rPr>
          <w:rFonts w:cs="Arial"/>
          <w:szCs w:val="20"/>
          <w:lang w:val="en-GB" w:eastAsia="ja-JP"/>
        </w:rPr>
        <w:t>[4]</w:t>
      </w:r>
      <w:r w:rsidR="00E02161">
        <w:rPr>
          <w:rFonts w:cs="Arial"/>
          <w:szCs w:val="20"/>
          <w:lang w:val="en-GB" w:eastAsia="ja-JP"/>
        </w:rPr>
        <w:fldChar w:fldCharType="end"/>
      </w:r>
      <w:r>
        <w:rPr>
          <w:rFonts w:cs="Arial"/>
          <w:szCs w:val="20"/>
          <w:lang w:val="en-GB" w:eastAsia="ja-JP"/>
        </w:rPr>
        <w:t>)</w:t>
      </w:r>
      <w:r w:rsidRPr="00835894">
        <w:rPr>
          <w:rFonts w:cs="Arial"/>
          <w:szCs w:val="20"/>
          <w:lang w:val="en-GB" w:eastAsia="ja-JP"/>
        </w:rPr>
        <w:t>.</w:t>
      </w:r>
      <w:r>
        <w:rPr>
          <w:rFonts w:cs="Arial"/>
          <w:szCs w:val="20"/>
          <w:lang w:val="en-GB" w:eastAsia="ja-JP"/>
        </w:rPr>
        <w:t xml:space="preserve"> </w:t>
      </w:r>
      <w:r w:rsidR="00D9751F" w:rsidRPr="00835894">
        <w:rPr>
          <w:rFonts w:cs="Arial"/>
          <w:szCs w:val="20"/>
          <w:lang w:val="en-GB" w:eastAsia="ja-JP"/>
        </w:rPr>
        <w:t xml:space="preserve">The 2-step RACH procedure consists of MsgA and MsgB, where MsgA </w:t>
      </w:r>
      <w:r w:rsidR="00643E95">
        <w:rPr>
          <w:rFonts w:cs="Arial"/>
          <w:szCs w:val="20"/>
          <w:lang w:val="en-GB" w:eastAsia="ja-JP"/>
        </w:rPr>
        <w:t>is a compound</w:t>
      </w:r>
      <w:r w:rsidR="00D9751F" w:rsidRPr="00835894">
        <w:rPr>
          <w:rFonts w:cs="Arial"/>
          <w:szCs w:val="20"/>
          <w:lang w:val="en-GB" w:eastAsia="ja-JP"/>
        </w:rPr>
        <w:t xml:space="preserve"> of </w:t>
      </w:r>
      <w:r w:rsidR="00D9751F" w:rsidRPr="00835894">
        <w:rPr>
          <w:rFonts w:cs="Arial"/>
          <w:szCs w:val="20"/>
          <w:lang w:val="en-GB" w:eastAsia="ja-JP"/>
        </w:rPr>
        <w:lastRenderedPageBreak/>
        <w:t xml:space="preserve">UL transmissions, Msg1 </w:t>
      </w:r>
      <w:r w:rsidR="00D9751F">
        <w:rPr>
          <w:rFonts w:cs="Arial"/>
          <w:szCs w:val="20"/>
          <w:lang w:val="en-GB" w:eastAsia="ja-JP"/>
        </w:rPr>
        <w:t xml:space="preserve">(preamble) </w:t>
      </w:r>
      <w:r w:rsidR="00D9751F" w:rsidRPr="00835894">
        <w:rPr>
          <w:rFonts w:cs="Arial"/>
          <w:szCs w:val="20"/>
          <w:lang w:val="en-GB" w:eastAsia="ja-JP"/>
        </w:rPr>
        <w:t>and Msg3</w:t>
      </w:r>
      <w:r w:rsidR="00D9751F">
        <w:rPr>
          <w:rFonts w:cs="Arial"/>
          <w:szCs w:val="20"/>
          <w:lang w:val="en-GB" w:eastAsia="ja-JP"/>
        </w:rPr>
        <w:t xml:space="preserve"> (PUSCH)</w:t>
      </w:r>
      <w:r w:rsidR="00D9751F" w:rsidRPr="00835894">
        <w:rPr>
          <w:rFonts w:cs="Arial"/>
          <w:szCs w:val="20"/>
          <w:lang w:val="en-GB" w:eastAsia="ja-JP"/>
        </w:rPr>
        <w:t xml:space="preserve">, and MsgB is a </w:t>
      </w:r>
      <w:r w:rsidR="00643E95">
        <w:rPr>
          <w:rFonts w:cs="Arial"/>
          <w:szCs w:val="20"/>
          <w:lang w:val="en-GB" w:eastAsia="ja-JP"/>
        </w:rPr>
        <w:t>compound</w:t>
      </w:r>
      <w:r w:rsidR="00D9751F" w:rsidRPr="00835894">
        <w:rPr>
          <w:rFonts w:cs="Arial"/>
          <w:szCs w:val="20"/>
          <w:lang w:val="en-GB" w:eastAsia="ja-JP"/>
        </w:rPr>
        <w:t xml:space="preserve"> of DL transmissions, Msg2 and Msg</w:t>
      </w:r>
      <w:r w:rsidR="00D9751F">
        <w:rPr>
          <w:rFonts w:cs="Arial"/>
          <w:szCs w:val="20"/>
          <w:lang w:val="en-GB" w:eastAsia="ja-JP"/>
        </w:rPr>
        <w:t>4</w:t>
      </w:r>
      <w:r w:rsidR="00D9751F" w:rsidRPr="00835894">
        <w:rPr>
          <w:rFonts w:cs="Arial"/>
          <w:szCs w:val="20"/>
          <w:lang w:val="en-GB" w:eastAsia="ja-JP"/>
        </w:rPr>
        <w:t>.</w:t>
      </w:r>
    </w:p>
    <w:tbl>
      <w:tblPr>
        <w:tblStyle w:val="TableGrid"/>
        <w:tblW w:w="0" w:type="auto"/>
        <w:tblLook w:val="04A0" w:firstRow="1" w:lastRow="0" w:firstColumn="1" w:lastColumn="0" w:noHBand="0" w:noVBand="1"/>
      </w:tblPr>
      <w:tblGrid>
        <w:gridCol w:w="9629"/>
      </w:tblGrid>
      <w:tr w:rsidR="00593DDE" w14:paraId="0C86CF25" w14:textId="77777777" w:rsidTr="00403255">
        <w:tc>
          <w:tcPr>
            <w:tcW w:w="9629" w:type="dxa"/>
          </w:tcPr>
          <w:p w14:paraId="1C903F19" w14:textId="77777777" w:rsidR="00593DDE" w:rsidRPr="00EE3A61" w:rsidRDefault="00593DDE" w:rsidP="00403255">
            <w:pPr>
              <w:jc w:val="both"/>
              <w:rPr>
                <w:rFonts w:eastAsia="Batang" w:cs="Arial"/>
                <w:sz w:val="20"/>
                <w:szCs w:val="20"/>
                <w:highlight w:val="green"/>
                <w:lang w:val="en-GB" w:eastAsia="ja-JP"/>
              </w:rPr>
            </w:pPr>
            <w:r w:rsidRPr="00EE3A61">
              <w:rPr>
                <w:rFonts w:cs="Arial"/>
                <w:sz w:val="20"/>
                <w:szCs w:val="20"/>
                <w:highlight w:val="green"/>
                <w:lang w:eastAsia="ja-JP"/>
              </w:rPr>
              <w:t>Agreements:</w:t>
            </w:r>
          </w:p>
          <w:p w14:paraId="64D172A1" w14:textId="77777777" w:rsidR="00593DDE" w:rsidRPr="00EE3A61" w:rsidRDefault="00593DDE" w:rsidP="00593DDE">
            <w:pPr>
              <w:numPr>
                <w:ilvl w:val="0"/>
                <w:numId w:val="13"/>
              </w:numPr>
              <w:spacing w:after="0" w:line="252" w:lineRule="auto"/>
              <w:rPr>
                <w:rFonts w:cs="Arial"/>
                <w:sz w:val="20"/>
                <w:szCs w:val="20"/>
                <w:lang w:eastAsia="ja-JP"/>
              </w:rPr>
            </w:pPr>
            <w:r w:rsidRPr="00EE3A61">
              <w:rPr>
                <w:rFonts w:cs="Arial"/>
                <w:sz w:val="20"/>
                <w:szCs w:val="20"/>
                <w:lang w:eastAsia="zh-CN"/>
              </w:rPr>
              <w:t xml:space="preserve">Support 2-step RACH for </w:t>
            </w:r>
            <w:r w:rsidRPr="00EE3A61">
              <w:rPr>
                <w:rFonts w:eastAsia="Times New Roman" w:cs="Arial"/>
                <w:sz w:val="20"/>
                <w:szCs w:val="20"/>
                <w:lang w:eastAsia="zh-CN"/>
              </w:rPr>
              <w:t>RedCap</w:t>
            </w:r>
            <w:r w:rsidRPr="00EE3A61">
              <w:rPr>
                <w:rFonts w:cs="Arial"/>
                <w:sz w:val="20"/>
                <w:szCs w:val="20"/>
                <w:lang w:eastAsia="zh-CN"/>
              </w:rPr>
              <w:t xml:space="preserve"> UEs as an optional feature</w:t>
            </w:r>
          </w:p>
          <w:p w14:paraId="52276E71" w14:textId="77777777" w:rsidR="00593DDE" w:rsidRPr="00EE3A61" w:rsidRDefault="00593DDE" w:rsidP="00593DDE">
            <w:pPr>
              <w:numPr>
                <w:ilvl w:val="1"/>
                <w:numId w:val="13"/>
              </w:numPr>
              <w:spacing w:after="0" w:line="252" w:lineRule="auto"/>
              <w:rPr>
                <w:rFonts w:cs="Arial"/>
                <w:sz w:val="20"/>
                <w:szCs w:val="20"/>
                <w:lang w:eastAsia="ja-JP"/>
              </w:rPr>
            </w:pPr>
            <w:r w:rsidRPr="00EE3A61">
              <w:rPr>
                <w:rFonts w:cs="Arial"/>
                <w:sz w:val="20"/>
                <w:szCs w:val="20"/>
                <w:lang w:eastAsia="zh-CN"/>
              </w:rPr>
              <w:t>FFS details of early indication in MsgA, e.g.:</w:t>
            </w:r>
          </w:p>
          <w:p w14:paraId="4DC4CABA" w14:textId="77777777" w:rsidR="00593DDE" w:rsidRPr="00EE3A61" w:rsidRDefault="00593DDE" w:rsidP="00593DDE">
            <w:pPr>
              <w:numPr>
                <w:ilvl w:val="2"/>
                <w:numId w:val="17"/>
              </w:numPr>
              <w:spacing w:after="0" w:line="252" w:lineRule="auto"/>
              <w:jc w:val="both"/>
              <w:rPr>
                <w:rFonts w:cs="Arial"/>
                <w:sz w:val="20"/>
                <w:szCs w:val="20"/>
                <w:lang w:eastAsia="ja-JP"/>
              </w:rPr>
            </w:pPr>
            <w:r w:rsidRPr="00EE3A61">
              <w:rPr>
                <w:rFonts w:cs="Arial"/>
                <w:sz w:val="20"/>
                <w:szCs w:val="20"/>
                <w:lang w:eastAsia="ja-JP"/>
              </w:rPr>
              <w:t>Separation of 2-step RACH resources or MsgA preambles</w:t>
            </w:r>
          </w:p>
          <w:p w14:paraId="11A22E12" w14:textId="77777777" w:rsidR="00593DDE" w:rsidRPr="00EE3A61" w:rsidRDefault="00593DDE" w:rsidP="00593DDE">
            <w:pPr>
              <w:numPr>
                <w:ilvl w:val="2"/>
                <w:numId w:val="17"/>
              </w:numPr>
              <w:spacing w:after="0" w:line="252" w:lineRule="auto"/>
              <w:jc w:val="both"/>
              <w:rPr>
                <w:rFonts w:cs="Arial"/>
                <w:sz w:val="20"/>
                <w:szCs w:val="20"/>
                <w:lang w:eastAsia="ja-JP"/>
              </w:rPr>
            </w:pPr>
            <w:r w:rsidRPr="00EE3A61">
              <w:rPr>
                <w:rFonts w:cs="Arial"/>
                <w:sz w:val="20"/>
                <w:szCs w:val="20"/>
                <w:lang w:eastAsia="ja-JP"/>
              </w:rPr>
              <w:t>Separation of initial UL BWP</w:t>
            </w:r>
          </w:p>
          <w:p w14:paraId="15CE1C9E" w14:textId="77777777" w:rsidR="00593DDE" w:rsidRPr="00EE3A61" w:rsidRDefault="00593DDE" w:rsidP="00593DDE">
            <w:pPr>
              <w:numPr>
                <w:ilvl w:val="2"/>
                <w:numId w:val="17"/>
              </w:numPr>
              <w:spacing w:after="0" w:line="252" w:lineRule="auto"/>
              <w:jc w:val="both"/>
              <w:rPr>
                <w:rFonts w:cs="Arial"/>
                <w:sz w:val="20"/>
                <w:szCs w:val="20"/>
                <w:lang w:eastAsia="ja-JP"/>
              </w:rPr>
            </w:pPr>
            <w:r w:rsidRPr="00EE3A61">
              <w:rPr>
                <w:rFonts w:cs="Arial"/>
                <w:sz w:val="20"/>
                <w:szCs w:val="20"/>
                <w:lang w:eastAsia="ja-JP"/>
              </w:rPr>
              <w:t>Using a new indication in MsgA PUSCH part</w:t>
            </w:r>
          </w:p>
          <w:p w14:paraId="1F2C9618" w14:textId="77777777" w:rsidR="00593DDE" w:rsidRPr="00EE3A61" w:rsidRDefault="00593DDE" w:rsidP="00593DDE">
            <w:pPr>
              <w:numPr>
                <w:ilvl w:val="1"/>
                <w:numId w:val="13"/>
              </w:numPr>
              <w:spacing w:after="0" w:line="252" w:lineRule="auto"/>
              <w:rPr>
                <w:rFonts w:ascii="Segoe UI" w:hAnsi="Segoe UI" w:cs="Segoe UI"/>
                <w:szCs w:val="20"/>
                <w:lang w:val="en-GB" w:eastAsia="ja-JP"/>
              </w:rPr>
            </w:pPr>
            <w:r w:rsidRPr="00EE3A61">
              <w:rPr>
                <w:rFonts w:cs="Arial"/>
                <w:sz w:val="20"/>
                <w:szCs w:val="20"/>
                <w:lang w:eastAsia="ja-JP"/>
              </w:rPr>
              <w:t xml:space="preserve">Note: Discussion on 4-step RACH for early indication should be </w:t>
            </w:r>
            <w:proofErr w:type="spellStart"/>
            <w:r w:rsidRPr="00EE3A61">
              <w:rPr>
                <w:rFonts w:cs="Arial"/>
                <w:sz w:val="20"/>
                <w:szCs w:val="20"/>
                <w:lang w:eastAsia="ja-JP"/>
              </w:rPr>
              <w:t>prioritised</w:t>
            </w:r>
            <w:proofErr w:type="spellEnd"/>
          </w:p>
        </w:tc>
      </w:tr>
    </w:tbl>
    <w:p w14:paraId="7F7A4DDA" w14:textId="10191F07" w:rsidR="007F425E" w:rsidRDefault="007F425E" w:rsidP="007F425E">
      <w:pPr>
        <w:rPr>
          <w:lang w:eastAsia="ja-JP"/>
        </w:rPr>
      </w:pPr>
    </w:p>
    <w:p w14:paraId="2966108A" w14:textId="293AE186" w:rsidR="00493DA4" w:rsidRDefault="00493DA4" w:rsidP="00D9751F">
      <w:pPr>
        <w:jc w:val="both"/>
        <w:rPr>
          <w:rFonts w:cs="Arial"/>
          <w:szCs w:val="20"/>
          <w:lang w:val="en-GB" w:eastAsia="ja-JP"/>
        </w:rPr>
      </w:pPr>
      <w:r>
        <w:rPr>
          <w:rFonts w:cs="Arial"/>
          <w:szCs w:val="20"/>
          <w:lang w:val="en-GB" w:eastAsia="ja-JP"/>
        </w:rPr>
        <w:t>The e</w:t>
      </w:r>
      <w:r w:rsidR="00C23247" w:rsidRPr="00835894">
        <w:rPr>
          <w:rFonts w:cs="Arial"/>
          <w:szCs w:val="20"/>
          <w:lang w:val="en-GB" w:eastAsia="ja-JP"/>
        </w:rPr>
        <w:t xml:space="preserve">arly RedCap indication </w:t>
      </w:r>
      <w:r w:rsidR="00C23247">
        <w:rPr>
          <w:rFonts w:cs="Arial"/>
          <w:szCs w:val="20"/>
          <w:lang w:val="en-GB" w:eastAsia="ja-JP"/>
        </w:rPr>
        <w:t>in</w:t>
      </w:r>
      <w:r w:rsidR="00C23247" w:rsidRPr="00835894">
        <w:rPr>
          <w:rFonts w:cs="Arial"/>
          <w:szCs w:val="20"/>
          <w:lang w:val="en-GB" w:eastAsia="ja-JP"/>
        </w:rPr>
        <w:t xml:space="preserve"> MsgA </w:t>
      </w:r>
      <w:r w:rsidR="00C23247">
        <w:rPr>
          <w:rFonts w:cs="Arial"/>
          <w:szCs w:val="20"/>
          <w:lang w:val="en-GB" w:eastAsia="ja-JP"/>
        </w:rPr>
        <w:t xml:space="preserve">enables (1) </w:t>
      </w:r>
      <w:r w:rsidR="00C23247" w:rsidRPr="00C23247">
        <w:rPr>
          <w:rFonts w:cs="Arial"/>
          <w:szCs w:val="20"/>
          <w:lang w:val="en-GB" w:eastAsia="ja-JP"/>
        </w:rPr>
        <w:t xml:space="preserve">coverage recovery </w:t>
      </w:r>
      <w:r w:rsidR="00C23247">
        <w:rPr>
          <w:rFonts w:cs="Arial"/>
          <w:szCs w:val="20"/>
          <w:lang w:val="en-GB" w:eastAsia="ja-JP"/>
        </w:rPr>
        <w:t>(</w:t>
      </w:r>
      <w:r w:rsidR="00C23247" w:rsidRPr="00C23247">
        <w:rPr>
          <w:rFonts w:cs="Arial"/>
          <w:szCs w:val="20"/>
          <w:lang w:val="en-GB" w:eastAsia="ja-JP"/>
        </w:rPr>
        <w:t xml:space="preserve">without impact </w:t>
      </w:r>
      <w:r w:rsidR="00E02161">
        <w:rPr>
          <w:rFonts w:cs="Arial"/>
          <w:szCs w:val="20"/>
          <w:lang w:val="en-GB" w:eastAsia="ja-JP"/>
        </w:rPr>
        <w:t>for</w:t>
      </w:r>
      <w:r w:rsidR="00C23247" w:rsidRPr="00C23247">
        <w:rPr>
          <w:rFonts w:cs="Arial"/>
          <w:szCs w:val="20"/>
          <w:lang w:val="en-GB" w:eastAsia="ja-JP"/>
        </w:rPr>
        <w:t xml:space="preserve"> non-RedCap UEs</w:t>
      </w:r>
      <w:r w:rsidR="00C23247">
        <w:rPr>
          <w:rFonts w:cs="Arial"/>
          <w:szCs w:val="20"/>
          <w:lang w:val="en-GB" w:eastAsia="ja-JP"/>
        </w:rPr>
        <w:t xml:space="preserve">) </w:t>
      </w:r>
      <w:r w:rsidR="00C23247" w:rsidRPr="00C23247">
        <w:rPr>
          <w:rFonts w:cs="Arial"/>
          <w:szCs w:val="20"/>
          <w:lang w:val="en-GB" w:eastAsia="ja-JP"/>
        </w:rPr>
        <w:t xml:space="preserve">of MsgB PDSCH </w:t>
      </w:r>
      <w:r w:rsidR="00C23247">
        <w:rPr>
          <w:rFonts w:cs="Arial"/>
          <w:szCs w:val="20"/>
          <w:lang w:val="en-GB" w:eastAsia="ja-JP"/>
        </w:rPr>
        <w:t xml:space="preserve">carrying </w:t>
      </w:r>
      <w:proofErr w:type="spellStart"/>
      <w:r w:rsidR="00C23247">
        <w:rPr>
          <w:rFonts w:cs="Arial"/>
          <w:szCs w:val="20"/>
          <w:lang w:val="en-GB" w:eastAsia="ja-JP"/>
        </w:rPr>
        <w:t>successRAR</w:t>
      </w:r>
      <w:proofErr w:type="spellEnd"/>
      <w:r w:rsidR="00C23247">
        <w:rPr>
          <w:rFonts w:cs="Arial"/>
          <w:szCs w:val="20"/>
          <w:lang w:val="en-GB" w:eastAsia="ja-JP"/>
        </w:rPr>
        <w:t xml:space="preserve"> </w:t>
      </w:r>
      <w:r w:rsidR="00C23247" w:rsidRPr="00C23247">
        <w:rPr>
          <w:rFonts w:cs="Arial"/>
          <w:szCs w:val="20"/>
          <w:lang w:val="en-GB" w:eastAsia="ja-JP"/>
        </w:rPr>
        <w:t xml:space="preserve">when MsgA </w:t>
      </w:r>
      <w:r w:rsidR="00C23247">
        <w:rPr>
          <w:rFonts w:cs="Arial"/>
          <w:szCs w:val="20"/>
          <w:lang w:val="en-GB" w:eastAsia="ja-JP"/>
        </w:rPr>
        <w:t xml:space="preserve">preamble and </w:t>
      </w:r>
      <w:r w:rsidR="00C23247" w:rsidRPr="00C23247">
        <w:rPr>
          <w:rFonts w:cs="Arial"/>
          <w:szCs w:val="20"/>
          <w:lang w:val="en-GB" w:eastAsia="ja-JP"/>
        </w:rPr>
        <w:t xml:space="preserve">PUSCH </w:t>
      </w:r>
      <w:r w:rsidR="00E02161">
        <w:rPr>
          <w:rFonts w:cs="Arial"/>
          <w:szCs w:val="20"/>
          <w:lang w:val="en-GB" w:eastAsia="ja-JP"/>
        </w:rPr>
        <w:t>parts are</w:t>
      </w:r>
      <w:r w:rsidR="00C23247" w:rsidRPr="00C23247">
        <w:rPr>
          <w:rFonts w:cs="Arial"/>
          <w:szCs w:val="20"/>
          <w:lang w:val="en-GB" w:eastAsia="ja-JP"/>
        </w:rPr>
        <w:t xml:space="preserve"> </w:t>
      </w:r>
      <w:r w:rsidR="00C23247">
        <w:rPr>
          <w:rFonts w:cs="Arial"/>
          <w:szCs w:val="20"/>
          <w:lang w:val="en-GB" w:eastAsia="ja-JP"/>
        </w:rPr>
        <w:t>detected/</w:t>
      </w:r>
      <w:r w:rsidR="00C23247" w:rsidRPr="00C23247">
        <w:rPr>
          <w:rFonts w:cs="Arial"/>
          <w:szCs w:val="20"/>
          <w:lang w:val="en-GB" w:eastAsia="ja-JP"/>
        </w:rPr>
        <w:t xml:space="preserve">decoded </w:t>
      </w:r>
      <w:r w:rsidR="00C23247">
        <w:rPr>
          <w:rFonts w:cs="Arial"/>
          <w:szCs w:val="20"/>
          <w:lang w:val="en-GB" w:eastAsia="ja-JP"/>
        </w:rPr>
        <w:t>correctly</w:t>
      </w:r>
      <w:r w:rsidR="00C23247" w:rsidRPr="00C23247">
        <w:rPr>
          <w:rFonts w:cs="Arial"/>
          <w:szCs w:val="20"/>
          <w:lang w:val="en-GB" w:eastAsia="ja-JP"/>
        </w:rPr>
        <w:t>,</w:t>
      </w:r>
      <w:r w:rsidR="00C23247">
        <w:rPr>
          <w:rFonts w:cs="Arial"/>
          <w:szCs w:val="20"/>
          <w:lang w:val="en-GB" w:eastAsia="ja-JP"/>
        </w:rPr>
        <w:t xml:space="preserve"> (2) disabling of PUCCH frequency hopping for MsgB HARQ feedback, for e.g., when ROs/preambles are shared </w:t>
      </w:r>
      <w:r w:rsidR="00EB0746">
        <w:rPr>
          <w:rFonts w:cs="Arial"/>
          <w:szCs w:val="20"/>
          <w:lang w:val="en-GB" w:eastAsia="ja-JP"/>
        </w:rPr>
        <w:t>between Redcap and</w:t>
      </w:r>
      <w:r w:rsidR="00C23247">
        <w:rPr>
          <w:rFonts w:cs="Arial"/>
          <w:szCs w:val="20"/>
          <w:lang w:val="en-GB" w:eastAsia="ja-JP"/>
        </w:rPr>
        <w:t xml:space="preserve"> non-RedCap UEs in the </w:t>
      </w:r>
      <w:r w:rsidR="00EB0746">
        <w:rPr>
          <w:rFonts w:cs="Arial"/>
          <w:szCs w:val="20"/>
          <w:lang w:val="en-GB" w:eastAsia="ja-JP"/>
        </w:rPr>
        <w:t>different</w:t>
      </w:r>
      <w:r w:rsidR="00C23247">
        <w:rPr>
          <w:rFonts w:cs="Arial"/>
          <w:szCs w:val="20"/>
          <w:lang w:val="en-GB" w:eastAsia="ja-JP"/>
        </w:rPr>
        <w:t xml:space="preserve"> initial UL BWP</w:t>
      </w:r>
      <w:r w:rsidR="00EB0746">
        <w:rPr>
          <w:rFonts w:cs="Arial"/>
          <w:szCs w:val="20"/>
          <w:lang w:val="en-GB" w:eastAsia="ja-JP"/>
        </w:rPr>
        <w:t>s</w:t>
      </w:r>
      <w:r w:rsidR="00C23247">
        <w:rPr>
          <w:rFonts w:cs="Arial"/>
          <w:szCs w:val="20"/>
          <w:lang w:val="en-GB" w:eastAsia="ja-JP"/>
        </w:rPr>
        <w:t xml:space="preserve">, (3) </w:t>
      </w:r>
      <w:r w:rsidR="00C23247" w:rsidRPr="00C23247">
        <w:rPr>
          <w:rFonts w:cs="Arial"/>
          <w:szCs w:val="20"/>
          <w:lang w:val="en-GB" w:eastAsia="ja-JP"/>
        </w:rPr>
        <w:t>RRC connection rejection of RedCap UEs and prioritization of non-RedCap UEs over RedCap UEs, in the same way as for the 4-step RACH procedure</w:t>
      </w:r>
      <w:r w:rsidR="00C23247">
        <w:rPr>
          <w:rFonts w:cs="Arial"/>
          <w:szCs w:val="20"/>
          <w:lang w:val="en-GB" w:eastAsia="ja-JP"/>
        </w:rPr>
        <w:t xml:space="preserve">, and (4) coverage recovery of MsgB PDSCH carrying </w:t>
      </w:r>
      <w:proofErr w:type="spellStart"/>
      <w:r w:rsidR="00C23247">
        <w:rPr>
          <w:rFonts w:cs="Arial"/>
          <w:szCs w:val="20"/>
          <w:lang w:val="en-GB" w:eastAsia="ja-JP"/>
        </w:rPr>
        <w:t>fallbackRAR</w:t>
      </w:r>
      <w:proofErr w:type="spellEnd"/>
      <w:r w:rsidR="00C23247">
        <w:rPr>
          <w:rFonts w:cs="Arial"/>
          <w:szCs w:val="20"/>
          <w:lang w:val="en-GB" w:eastAsia="ja-JP"/>
        </w:rPr>
        <w:t xml:space="preserve"> when </w:t>
      </w:r>
      <w:r w:rsidR="00C23247" w:rsidRPr="00C23247">
        <w:rPr>
          <w:rFonts w:cs="Arial"/>
          <w:szCs w:val="20"/>
          <w:lang w:val="en-GB" w:eastAsia="ja-JP"/>
        </w:rPr>
        <w:t>MsgA preamble is detected but MsgA PUSCH is not decoded correctly</w:t>
      </w:r>
      <w:r w:rsidR="00C23247">
        <w:rPr>
          <w:rFonts w:cs="Arial"/>
          <w:szCs w:val="20"/>
          <w:lang w:val="en-GB" w:eastAsia="ja-JP"/>
        </w:rPr>
        <w:t xml:space="preserve"> (or if </w:t>
      </w:r>
      <w:r>
        <w:rPr>
          <w:rFonts w:cs="Arial"/>
          <w:szCs w:val="20"/>
          <w:lang w:val="en-GB" w:eastAsia="ja-JP"/>
        </w:rPr>
        <w:t>MsgA PUSCH is not transmitted).</w:t>
      </w:r>
    </w:p>
    <w:p w14:paraId="52E6C1A2" w14:textId="4E61E1CB" w:rsidR="00E042BF" w:rsidRDefault="00493DA4" w:rsidP="00D9751F">
      <w:pPr>
        <w:jc w:val="both"/>
        <w:rPr>
          <w:rFonts w:cs="Arial"/>
          <w:szCs w:val="20"/>
          <w:lang w:val="en-GB" w:eastAsia="ja-JP"/>
        </w:rPr>
      </w:pPr>
      <w:r>
        <w:rPr>
          <w:rFonts w:cs="Arial"/>
          <w:szCs w:val="20"/>
          <w:lang w:val="en-GB" w:eastAsia="ja-JP"/>
        </w:rPr>
        <w:t>The indication in MsgA PUSCH is enough (i.e., there is no need for indication in MsgA preamble) to enable the aforementioned (1), (2), and (3)</w:t>
      </w:r>
      <w:r w:rsidR="00A730CA">
        <w:rPr>
          <w:rFonts w:cs="Arial"/>
          <w:szCs w:val="20"/>
          <w:lang w:val="en-GB" w:eastAsia="ja-JP"/>
        </w:rPr>
        <w:t xml:space="preserve"> cases</w:t>
      </w:r>
      <w:r>
        <w:rPr>
          <w:rFonts w:cs="Arial"/>
          <w:szCs w:val="20"/>
          <w:lang w:val="en-GB" w:eastAsia="ja-JP"/>
        </w:rPr>
        <w:t xml:space="preserve">. The indication in MsgA preamble is needed only to enable </w:t>
      </w:r>
      <w:r w:rsidR="00A730CA">
        <w:rPr>
          <w:rFonts w:cs="Arial"/>
          <w:szCs w:val="20"/>
          <w:lang w:val="en-GB" w:eastAsia="ja-JP"/>
        </w:rPr>
        <w:t xml:space="preserve">case </w:t>
      </w:r>
      <w:r>
        <w:rPr>
          <w:rFonts w:cs="Arial"/>
          <w:szCs w:val="20"/>
          <w:lang w:val="en-GB" w:eastAsia="ja-JP"/>
        </w:rPr>
        <w:t xml:space="preserve">(4). </w:t>
      </w:r>
      <w:r>
        <w:rPr>
          <w:lang w:eastAsia="ja-JP"/>
        </w:rPr>
        <w:t xml:space="preserve">However, coverage evaluations for this scenario were not carried out during the RedCap SI phase. </w:t>
      </w:r>
      <w:r w:rsidR="0036367C">
        <w:rPr>
          <w:lang w:eastAsia="ja-JP"/>
        </w:rPr>
        <w:t>Intuitively</w:t>
      </w:r>
      <w:r>
        <w:rPr>
          <w:lang w:eastAsia="ja-JP"/>
        </w:rPr>
        <w:t>, coverage recovery may be needed if MsgB (</w:t>
      </w:r>
      <w:proofErr w:type="spellStart"/>
      <w:r>
        <w:rPr>
          <w:lang w:eastAsia="ja-JP"/>
        </w:rPr>
        <w:t>fallbackRAR</w:t>
      </w:r>
      <w:proofErr w:type="spellEnd"/>
      <w:r>
        <w:rPr>
          <w:lang w:eastAsia="ja-JP"/>
        </w:rPr>
        <w:t>) and Msg2 have similar payload size</w:t>
      </w:r>
      <w:r w:rsidR="0036367C">
        <w:rPr>
          <w:lang w:eastAsia="ja-JP"/>
        </w:rPr>
        <w:t>s</w:t>
      </w:r>
      <w:r>
        <w:rPr>
          <w:lang w:eastAsia="ja-JP"/>
        </w:rPr>
        <w:t>.</w:t>
      </w:r>
      <w:r w:rsidR="0036367C">
        <w:rPr>
          <w:lang w:eastAsia="ja-JP"/>
        </w:rPr>
        <w:t xml:space="preserve"> </w:t>
      </w:r>
      <w:r w:rsidR="00E042BF">
        <w:rPr>
          <w:rFonts w:cs="Arial"/>
          <w:szCs w:val="20"/>
          <w:lang w:val="en-GB" w:eastAsia="ja-JP"/>
        </w:rPr>
        <w:t>Based on these considerations, we propose the following:</w:t>
      </w:r>
    </w:p>
    <w:p w14:paraId="5510A8AE" w14:textId="7222B451" w:rsidR="00E042BF" w:rsidRPr="005B0233" w:rsidRDefault="00E042BF" w:rsidP="00E72266">
      <w:pPr>
        <w:pStyle w:val="Proposal"/>
      </w:pPr>
      <w:bookmarkStart w:id="22" w:name="_Toc84024427"/>
      <w:r w:rsidRPr="00E2429E">
        <w:t xml:space="preserve">For </w:t>
      </w:r>
      <w:r>
        <w:t>2</w:t>
      </w:r>
      <w:r w:rsidRPr="00E2429E">
        <w:t>-step RACH, support the early indication of RedCap UEs in Msg</w:t>
      </w:r>
      <w:r>
        <w:t>A preamble and MsgA PUSCH</w:t>
      </w:r>
      <w:r w:rsidR="007D43DB">
        <w:t>:</w:t>
      </w:r>
      <w:bookmarkEnd w:id="22"/>
    </w:p>
    <w:p w14:paraId="2FCD8B4A" w14:textId="2BD18249" w:rsidR="00E042BF" w:rsidRDefault="00E042BF" w:rsidP="00E72266">
      <w:pPr>
        <w:pStyle w:val="Proposal"/>
        <w:numPr>
          <w:ilvl w:val="2"/>
          <w:numId w:val="2"/>
        </w:numPr>
        <w:rPr>
          <w:rFonts w:cs="Arial"/>
          <w:szCs w:val="20"/>
        </w:rPr>
      </w:pPr>
      <w:bookmarkStart w:id="23" w:name="_Toc84024428"/>
      <w:r w:rsidRPr="00E042BF">
        <w:rPr>
          <w:rFonts w:cs="Arial"/>
          <w:szCs w:val="20"/>
        </w:rPr>
        <w:t>The early indication in Msg</w:t>
      </w:r>
      <w:r>
        <w:rPr>
          <w:rFonts w:cs="Arial"/>
          <w:szCs w:val="20"/>
        </w:rPr>
        <w:t>A preamble</w:t>
      </w:r>
      <w:r w:rsidRPr="00E042BF">
        <w:rPr>
          <w:rFonts w:cs="Arial"/>
          <w:szCs w:val="20"/>
        </w:rPr>
        <w:t xml:space="preserve"> can be configured to be enabled/disabled via SIB</w:t>
      </w:r>
      <w:bookmarkEnd w:id="23"/>
    </w:p>
    <w:p w14:paraId="3CB04823" w14:textId="2A550176" w:rsidR="00E042BF" w:rsidRPr="00E042BF" w:rsidRDefault="00E042BF" w:rsidP="00E72266">
      <w:pPr>
        <w:pStyle w:val="Proposal"/>
        <w:numPr>
          <w:ilvl w:val="2"/>
          <w:numId w:val="2"/>
        </w:numPr>
        <w:rPr>
          <w:rFonts w:cs="Arial"/>
          <w:szCs w:val="20"/>
        </w:rPr>
      </w:pPr>
      <w:bookmarkStart w:id="24" w:name="_Toc84024429"/>
      <w:r w:rsidRPr="00E042BF">
        <w:rPr>
          <w:rFonts w:cs="Arial"/>
          <w:szCs w:val="20"/>
        </w:rPr>
        <w:t>From RAN1 perspective, the following methods can be used for early indication both for shared initial UL BWP and separate initial UL BWP (if supported)</w:t>
      </w:r>
      <w:bookmarkEnd w:id="24"/>
    </w:p>
    <w:p w14:paraId="51CC39E2" w14:textId="0D2188EC" w:rsidR="00E042BF" w:rsidRPr="00E042BF" w:rsidRDefault="006C6349" w:rsidP="00E72266">
      <w:pPr>
        <w:pStyle w:val="Proposal"/>
        <w:numPr>
          <w:ilvl w:val="3"/>
          <w:numId w:val="34"/>
        </w:numPr>
        <w:rPr>
          <w:rFonts w:cs="Arial"/>
          <w:szCs w:val="20"/>
        </w:rPr>
      </w:pPr>
      <w:bookmarkStart w:id="25" w:name="_Toc84024430"/>
      <w:r>
        <w:rPr>
          <w:rFonts w:cs="Arial"/>
          <w:szCs w:val="20"/>
        </w:rPr>
        <w:t>S</w:t>
      </w:r>
      <w:r w:rsidR="00E042BF" w:rsidRPr="00E042BF">
        <w:rPr>
          <w:rFonts w:cs="Arial"/>
          <w:szCs w:val="20"/>
        </w:rPr>
        <w:t>eparate PRACH resource</w:t>
      </w:r>
      <w:bookmarkEnd w:id="25"/>
    </w:p>
    <w:p w14:paraId="22D584C5" w14:textId="77777777" w:rsidR="00E042BF" w:rsidRPr="00E042BF" w:rsidRDefault="00E042BF" w:rsidP="00E72266">
      <w:pPr>
        <w:pStyle w:val="Proposal"/>
        <w:numPr>
          <w:ilvl w:val="3"/>
          <w:numId w:val="34"/>
        </w:numPr>
        <w:rPr>
          <w:rFonts w:cs="Arial"/>
          <w:szCs w:val="20"/>
        </w:rPr>
      </w:pPr>
      <w:bookmarkStart w:id="26" w:name="_Toc84024431"/>
      <w:r w:rsidRPr="00E042BF">
        <w:rPr>
          <w:rFonts w:cs="Arial"/>
          <w:szCs w:val="20"/>
        </w:rPr>
        <w:t>PRACH preamble partitioning</w:t>
      </w:r>
      <w:bookmarkEnd w:id="26"/>
    </w:p>
    <w:p w14:paraId="6C5FD9AD" w14:textId="3691F9FD" w:rsidR="00493DA4" w:rsidRPr="00E72266" w:rsidRDefault="00DB13C4" w:rsidP="00D9751F">
      <w:pPr>
        <w:pStyle w:val="Proposal"/>
        <w:numPr>
          <w:ilvl w:val="2"/>
          <w:numId w:val="2"/>
        </w:numPr>
        <w:rPr>
          <w:rFonts w:cs="Arial"/>
          <w:szCs w:val="20"/>
        </w:rPr>
      </w:pPr>
      <w:bookmarkStart w:id="27" w:name="_Toc84024432"/>
      <w:r>
        <w:rPr>
          <w:rFonts w:cs="Arial"/>
          <w:szCs w:val="20"/>
        </w:rPr>
        <w:t>H</w:t>
      </w:r>
      <w:r w:rsidR="00E042BF" w:rsidRPr="00E042BF">
        <w:rPr>
          <w:rFonts w:cs="Arial"/>
          <w:szCs w:val="20"/>
        </w:rPr>
        <w:t>ow to support early indication of RedCap UEs in Msg</w:t>
      </w:r>
      <w:r w:rsidR="00E042BF">
        <w:rPr>
          <w:rFonts w:cs="Arial"/>
          <w:szCs w:val="20"/>
        </w:rPr>
        <w:t>A PUSCH</w:t>
      </w:r>
      <w:r w:rsidR="00E042BF" w:rsidRPr="00E042BF">
        <w:rPr>
          <w:rFonts w:cs="Arial"/>
          <w:szCs w:val="20"/>
        </w:rPr>
        <w:t xml:space="preserve"> is up to RAN2.</w:t>
      </w:r>
      <w:bookmarkEnd w:id="27"/>
    </w:p>
    <w:p w14:paraId="7438D478" w14:textId="4698D662" w:rsidR="007B3149" w:rsidRPr="00362076" w:rsidRDefault="00DB13C4" w:rsidP="00362076">
      <w:pPr>
        <w:pStyle w:val="BodyText"/>
        <w:rPr>
          <w:rFonts w:cs="Arial"/>
        </w:rPr>
      </w:pPr>
      <w:r>
        <w:rPr>
          <w:rFonts w:cs="Arial"/>
        </w:rPr>
        <w:t xml:space="preserve">If </w:t>
      </w:r>
      <w:r w:rsidRPr="00EB6CED">
        <w:rPr>
          <w:rFonts w:cs="Arial"/>
          <w:szCs w:val="20"/>
        </w:rPr>
        <w:t>Msg</w:t>
      </w:r>
      <w:r>
        <w:rPr>
          <w:rFonts w:cs="Arial"/>
          <w:szCs w:val="20"/>
        </w:rPr>
        <w:t>A</w:t>
      </w:r>
      <w:r w:rsidRPr="00EB6CED">
        <w:rPr>
          <w:rFonts w:cs="Arial"/>
          <w:szCs w:val="20"/>
        </w:rPr>
        <w:t xml:space="preserve"> </w:t>
      </w:r>
      <w:r>
        <w:rPr>
          <w:rFonts w:cs="Arial"/>
          <w:szCs w:val="20"/>
        </w:rPr>
        <w:t xml:space="preserve">PUSCH </w:t>
      </w:r>
      <w:r w:rsidRPr="00EB6CED">
        <w:rPr>
          <w:rFonts w:cs="Arial"/>
          <w:szCs w:val="20"/>
        </w:rPr>
        <w:t xml:space="preserve">early identification </w:t>
      </w:r>
      <w:r>
        <w:rPr>
          <w:rFonts w:cs="Arial"/>
          <w:szCs w:val="20"/>
        </w:rPr>
        <w:t xml:space="preserve">is </w:t>
      </w:r>
      <w:r w:rsidRPr="00EB6CED">
        <w:rPr>
          <w:rFonts w:cs="Arial"/>
          <w:szCs w:val="20"/>
        </w:rPr>
        <w:t xml:space="preserve">based on </w:t>
      </w:r>
      <w:r>
        <w:rPr>
          <w:rFonts w:cs="Arial"/>
          <w:szCs w:val="20"/>
        </w:rPr>
        <w:t>RedCap-specific</w:t>
      </w:r>
      <w:r w:rsidRPr="00EB6CED">
        <w:rPr>
          <w:rFonts w:cs="Arial"/>
          <w:szCs w:val="20"/>
        </w:rPr>
        <w:t xml:space="preserve"> LCID </w:t>
      </w:r>
      <w:r>
        <w:rPr>
          <w:rFonts w:cs="Arial"/>
          <w:szCs w:val="20"/>
        </w:rPr>
        <w:t xml:space="preserve">(similar to Msg3 indication), there is </w:t>
      </w:r>
      <w:r>
        <w:rPr>
          <w:rFonts w:cs="Arial"/>
        </w:rPr>
        <w:t>no need to have a “configurable” MsgA PUSCH indication, i.e., RedCap UEs should always indicate CCCH using the RedCap-specific LCID. There is no benefit in introducing a RedCap-specific LCID and not using it for RedCap UEs.</w:t>
      </w:r>
    </w:p>
    <w:p w14:paraId="61D8635F" w14:textId="40733FD0" w:rsidR="00E95143" w:rsidRPr="00EB6CED" w:rsidRDefault="00362076" w:rsidP="00EB6CED">
      <w:pPr>
        <w:pStyle w:val="Heading1"/>
      </w:pPr>
      <w:r>
        <w:t>4</w:t>
      </w:r>
      <w:r w:rsidR="00EB6CED" w:rsidRPr="00EB6CED">
        <w:tab/>
      </w:r>
      <w:r w:rsidR="00A76638" w:rsidRPr="00EB6CED">
        <w:t xml:space="preserve">L1 UE capabilities not applicable </w:t>
      </w:r>
      <w:r w:rsidR="00216705">
        <w:t>for</w:t>
      </w:r>
      <w:r w:rsidR="00A76638" w:rsidRPr="00EB6CED">
        <w:t xml:space="preserve"> RedCap UEs</w:t>
      </w:r>
    </w:p>
    <w:p w14:paraId="60BF8C39" w14:textId="4ACF6914" w:rsidR="00D923BE" w:rsidRDefault="00B90FF7" w:rsidP="00F90B1A">
      <w:pPr>
        <w:jc w:val="both"/>
        <w:rPr>
          <w:lang w:eastAsia="ja-JP"/>
        </w:rPr>
      </w:pPr>
      <w:r>
        <w:rPr>
          <w:lang w:eastAsia="ja-JP"/>
        </w:rPr>
        <w:t xml:space="preserve">RAN2 has sent an LS to RAN1 (and RAN4) during RAN1#115-e, wherein one of the actions for RAN1 is to provide feedback on </w:t>
      </w:r>
      <w:r w:rsidRPr="00B90FF7">
        <w:rPr>
          <w:lang w:eastAsia="ja-JP"/>
        </w:rPr>
        <w:t xml:space="preserve">whether there are any Rel-15 and/or Rel-16 UE features or capabilities </w:t>
      </w:r>
      <w:r w:rsidR="00D93DDD">
        <w:rPr>
          <w:lang w:eastAsia="ja-JP"/>
        </w:rPr>
        <w:t>that</w:t>
      </w:r>
      <w:r w:rsidRPr="00B90FF7">
        <w:rPr>
          <w:lang w:eastAsia="ja-JP"/>
        </w:rPr>
        <w:t xml:space="preserve"> should not be applicable for RedCap UEs</w:t>
      </w:r>
      <w:r>
        <w:rPr>
          <w:lang w:eastAsia="ja-JP"/>
        </w:rPr>
        <w:t xml:space="preserve"> </w:t>
      </w:r>
      <w:r w:rsidR="00D93DDD">
        <w:rPr>
          <w:lang w:eastAsia="ja-JP"/>
        </w:rPr>
        <w:fldChar w:fldCharType="begin"/>
      </w:r>
      <w:r w:rsidR="00D93DDD">
        <w:rPr>
          <w:lang w:eastAsia="ja-JP"/>
        </w:rPr>
        <w:instrText xml:space="preserve"> REF _Ref83116980 \r \h </w:instrText>
      </w:r>
      <w:r w:rsidR="00F90B1A">
        <w:rPr>
          <w:lang w:eastAsia="ja-JP"/>
        </w:rPr>
        <w:instrText xml:space="preserve"> \* MERGEFORMAT </w:instrText>
      </w:r>
      <w:r w:rsidR="00D93DDD">
        <w:rPr>
          <w:lang w:eastAsia="ja-JP"/>
        </w:rPr>
      </w:r>
      <w:r w:rsidR="00D93DDD">
        <w:rPr>
          <w:lang w:eastAsia="ja-JP"/>
        </w:rPr>
        <w:fldChar w:fldCharType="separate"/>
      </w:r>
      <w:r w:rsidR="00D93DDD">
        <w:rPr>
          <w:lang w:eastAsia="ja-JP"/>
        </w:rPr>
        <w:t>[2]</w:t>
      </w:r>
      <w:r w:rsidR="00D93DDD">
        <w:rPr>
          <w:lang w:eastAsia="ja-JP"/>
        </w:rPr>
        <w:fldChar w:fldCharType="end"/>
      </w:r>
      <w:r>
        <w:rPr>
          <w:lang w:eastAsia="ja-JP"/>
        </w:rPr>
        <w:t xml:space="preserve">. </w:t>
      </w:r>
    </w:p>
    <w:tbl>
      <w:tblPr>
        <w:tblStyle w:val="TableGrid"/>
        <w:tblW w:w="0" w:type="auto"/>
        <w:tblLook w:val="04A0" w:firstRow="1" w:lastRow="0" w:firstColumn="1" w:lastColumn="0" w:noHBand="0" w:noVBand="1"/>
      </w:tblPr>
      <w:tblGrid>
        <w:gridCol w:w="9629"/>
      </w:tblGrid>
      <w:tr w:rsidR="00B90FF7" w14:paraId="2798B0F4" w14:textId="77777777" w:rsidTr="00B90FF7">
        <w:tc>
          <w:tcPr>
            <w:tcW w:w="9629" w:type="dxa"/>
          </w:tcPr>
          <w:p w14:paraId="514035FE" w14:textId="77777777" w:rsidR="00B90FF7" w:rsidRPr="00B90FF7" w:rsidRDefault="00B90FF7" w:rsidP="00B90FF7">
            <w:pPr>
              <w:rPr>
                <w:sz w:val="36"/>
                <w:szCs w:val="36"/>
                <w:lang w:eastAsia="ja-JP"/>
              </w:rPr>
            </w:pPr>
            <w:r w:rsidRPr="00B90FF7">
              <w:rPr>
                <w:sz w:val="36"/>
                <w:szCs w:val="36"/>
                <w:lang w:eastAsia="ja-JP"/>
              </w:rPr>
              <w:t>2</w:t>
            </w:r>
            <w:r w:rsidRPr="00B90FF7">
              <w:rPr>
                <w:sz w:val="36"/>
                <w:szCs w:val="36"/>
                <w:lang w:eastAsia="ja-JP"/>
              </w:rPr>
              <w:tab/>
              <w:t>Actions</w:t>
            </w:r>
          </w:p>
          <w:p w14:paraId="27643D8C" w14:textId="77777777" w:rsidR="00B90FF7" w:rsidRPr="00B90FF7" w:rsidRDefault="00B90FF7" w:rsidP="00B90FF7">
            <w:pPr>
              <w:rPr>
                <w:b/>
                <w:bCs/>
                <w:sz w:val="20"/>
                <w:szCs w:val="20"/>
                <w:lang w:eastAsia="ja-JP"/>
              </w:rPr>
            </w:pPr>
            <w:r w:rsidRPr="00B90FF7">
              <w:rPr>
                <w:b/>
                <w:bCs/>
                <w:sz w:val="20"/>
                <w:szCs w:val="20"/>
                <w:lang w:eastAsia="ja-JP"/>
              </w:rPr>
              <w:t>To RAN1 and RAN4:</w:t>
            </w:r>
          </w:p>
          <w:p w14:paraId="4B99E964" w14:textId="5EDA6BE8" w:rsidR="00B90FF7" w:rsidRDefault="00B90FF7" w:rsidP="00B90FF7">
            <w:pPr>
              <w:overflowPunct w:val="0"/>
              <w:autoSpaceDE w:val="0"/>
              <w:autoSpaceDN w:val="0"/>
              <w:adjustRightInd w:val="0"/>
              <w:spacing w:after="180" w:line="254" w:lineRule="auto"/>
              <w:ind w:left="1440" w:hanging="1440"/>
              <w:contextualSpacing/>
              <w:textAlignment w:val="baseline"/>
              <w:rPr>
                <w:lang w:eastAsia="ja-JP"/>
              </w:rPr>
            </w:pPr>
            <w:r>
              <w:rPr>
                <w:lang w:eastAsia="ja-JP"/>
              </w:rPr>
              <w:t>[…]</w:t>
            </w:r>
          </w:p>
          <w:p w14:paraId="7C6A91F2" w14:textId="77777777" w:rsidR="00B90FF7" w:rsidRDefault="00B90FF7" w:rsidP="00B90FF7">
            <w:pPr>
              <w:overflowPunct w:val="0"/>
              <w:autoSpaceDE w:val="0"/>
              <w:autoSpaceDN w:val="0"/>
              <w:adjustRightInd w:val="0"/>
              <w:spacing w:after="180" w:line="254" w:lineRule="auto"/>
              <w:ind w:left="1440" w:hanging="1440"/>
              <w:contextualSpacing/>
              <w:textAlignment w:val="baseline"/>
              <w:rPr>
                <w:lang w:eastAsia="ja-JP"/>
              </w:rPr>
            </w:pPr>
          </w:p>
          <w:p w14:paraId="7B2723E3" w14:textId="1F6DFD94" w:rsidR="00B90FF7" w:rsidRPr="00B90FF7" w:rsidRDefault="00B90FF7" w:rsidP="00B90FF7">
            <w:pPr>
              <w:spacing w:line="254" w:lineRule="auto"/>
              <w:ind w:left="1440" w:hanging="1440"/>
              <w:contextualSpacing/>
              <w:rPr>
                <w:rFonts w:cs="Arial"/>
                <w:sz w:val="20"/>
                <w:szCs w:val="20"/>
                <w:lang w:eastAsia="zh-CN"/>
              </w:rPr>
            </w:pPr>
            <w:r w:rsidRPr="00B90FF7">
              <w:rPr>
                <w:rFonts w:cs="Arial"/>
                <w:b/>
                <w:sz w:val="20"/>
                <w:szCs w:val="20"/>
              </w:rPr>
              <w:t>ACTION:</w:t>
            </w:r>
            <w:r w:rsidRPr="00B90FF7">
              <w:rPr>
                <w:rFonts w:cs="Arial"/>
                <w:sz w:val="20"/>
                <w:szCs w:val="20"/>
                <w:lang w:eastAsia="zh-CN"/>
              </w:rPr>
              <w:t xml:space="preserve"> </w:t>
            </w:r>
            <w:r w:rsidRPr="00B90FF7">
              <w:rPr>
                <w:rFonts w:cs="Arial"/>
                <w:sz w:val="20"/>
                <w:szCs w:val="20"/>
                <w:lang w:eastAsia="zh-CN"/>
              </w:rPr>
              <w:tab/>
              <w:t xml:space="preserve">RAN2 respectfully asks RAN1 and RAN4 whether there are any Rel-15 and/or Rel-16 UE features or capabilities which should not be applicable for RedCap UEs? </w:t>
            </w:r>
          </w:p>
        </w:tc>
      </w:tr>
    </w:tbl>
    <w:p w14:paraId="785414EB" w14:textId="4CB373C8" w:rsidR="00D923BE" w:rsidRDefault="00D923BE" w:rsidP="00D923BE">
      <w:pPr>
        <w:rPr>
          <w:lang w:eastAsia="ja-JP"/>
        </w:rPr>
      </w:pPr>
    </w:p>
    <w:p w14:paraId="724934FC" w14:textId="11FEF3EB" w:rsidR="00B90FF7" w:rsidRDefault="00B90FF7" w:rsidP="00F90B1A">
      <w:pPr>
        <w:jc w:val="both"/>
        <w:rPr>
          <w:lang w:eastAsia="ja-JP"/>
        </w:rPr>
      </w:pPr>
      <w:r>
        <w:rPr>
          <w:lang w:eastAsia="ja-JP"/>
        </w:rPr>
        <w:t xml:space="preserve">To this end, in </w:t>
      </w:r>
      <w:r w:rsidR="00D93DDD">
        <w:rPr>
          <w:lang w:eastAsia="ja-JP"/>
        </w:rPr>
        <w:fldChar w:fldCharType="begin"/>
      </w:r>
      <w:r w:rsidR="00D93DDD">
        <w:rPr>
          <w:lang w:eastAsia="ja-JP"/>
        </w:rPr>
        <w:instrText xml:space="preserve"> REF _Ref71110685 \h </w:instrText>
      </w:r>
      <w:r w:rsidR="00F90B1A">
        <w:rPr>
          <w:lang w:eastAsia="ja-JP"/>
        </w:rPr>
        <w:instrText xml:space="preserve"> \* MERGEFORMAT </w:instrText>
      </w:r>
      <w:r w:rsidR="00D93DDD">
        <w:rPr>
          <w:lang w:eastAsia="ja-JP"/>
        </w:rPr>
      </w:r>
      <w:r w:rsidR="00D93DDD">
        <w:rPr>
          <w:lang w:eastAsia="ja-JP"/>
        </w:rPr>
        <w:fldChar w:fldCharType="separate"/>
      </w:r>
      <w:r w:rsidR="00D93DDD" w:rsidRPr="00E80479">
        <w:t xml:space="preserve">Table </w:t>
      </w:r>
      <w:r w:rsidR="00D93DDD">
        <w:rPr>
          <w:noProof/>
        </w:rPr>
        <w:t>1</w:t>
      </w:r>
      <w:r w:rsidR="00D93DDD">
        <w:rPr>
          <w:lang w:eastAsia="ja-JP"/>
        </w:rPr>
        <w:fldChar w:fldCharType="end"/>
      </w:r>
      <w:r>
        <w:rPr>
          <w:lang w:eastAsia="ja-JP"/>
        </w:rPr>
        <w:t>, we have summarized capabilities</w:t>
      </w:r>
      <w:r w:rsidR="00061DBD">
        <w:rPr>
          <w:lang w:eastAsia="ja-JP"/>
        </w:rPr>
        <w:t>/features</w:t>
      </w:r>
      <w:r>
        <w:rPr>
          <w:lang w:eastAsia="ja-JP"/>
        </w:rPr>
        <w:t xml:space="preserve"> that are not applicable for RedCap UEs but are applicable </w:t>
      </w:r>
      <w:r w:rsidR="00216705">
        <w:rPr>
          <w:lang w:eastAsia="ja-JP"/>
        </w:rPr>
        <w:t>for</w:t>
      </w:r>
      <w:r>
        <w:rPr>
          <w:lang w:eastAsia="ja-JP"/>
        </w:rPr>
        <w:t xml:space="preserve"> non-RedCap UEs, and vice-versa. </w:t>
      </w:r>
    </w:p>
    <w:p w14:paraId="1746DCFD" w14:textId="25CBF739" w:rsidR="00B90FF7" w:rsidRPr="008F0D84" w:rsidRDefault="00B90FF7" w:rsidP="00B90FF7">
      <w:pPr>
        <w:pStyle w:val="Caption"/>
        <w:jc w:val="center"/>
        <w:rPr>
          <w:rFonts w:cs="Arial"/>
          <w:b w:val="0"/>
          <w:szCs w:val="20"/>
        </w:rPr>
      </w:pPr>
      <w:bookmarkStart w:id="28" w:name="_Ref71110685"/>
      <w:r w:rsidRPr="00E80479">
        <w:t xml:space="preserve">Table </w:t>
      </w:r>
      <w:r w:rsidRPr="00E80479">
        <w:fldChar w:fldCharType="begin"/>
      </w:r>
      <w:r w:rsidRPr="00E80479">
        <w:instrText xml:space="preserve"> SEQ Table \* ARABIC </w:instrText>
      </w:r>
      <w:r w:rsidRPr="00E80479">
        <w:fldChar w:fldCharType="separate"/>
      </w:r>
      <w:r w:rsidR="00D93DDD">
        <w:rPr>
          <w:noProof/>
        </w:rPr>
        <w:t>1</w:t>
      </w:r>
      <w:r w:rsidRPr="00E80479">
        <w:fldChar w:fldCharType="end"/>
      </w:r>
      <w:bookmarkEnd w:id="28"/>
      <w:r w:rsidRPr="00E80479">
        <w:rPr>
          <w:rFonts w:cs="Arial"/>
          <w:szCs w:val="20"/>
        </w:rPr>
        <w:t xml:space="preserve">: </w:t>
      </w:r>
      <w:r w:rsidR="00216705">
        <w:rPr>
          <w:rFonts w:cs="Arial"/>
          <w:szCs w:val="20"/>
        </w:rPr>
        <w:t>L1 UE c</w:t>
      </w:r>
      <w:r w:rsidR="00216705" w:rsidRPr="00216705">
        <w:rPr>
          <w:rFonts w:cs="Arial"/>
          <w:szCs w:val="20"/>
        </w:rPr>
        <w:t>apabilities</w:t>
      </w:r>
      <w:r w:rsidR="00061DBD">
        <w:rPr>
          <w:rFonts w:cs="Arial"/>
          <w:szCs w:val="20"/>
        </w:rPr>
        <w:t>/features</w:t>
      </w:r>
      <w:r w:rsidR="00216705" w:rsidRPr="00216705">
        <w:rPr>
          <w:rFonts w:cs="Arial"/>
          <w:szCs w:val="20"/>
        </w:rPr>
        <w:t xml:space="preserve"> </w:t>
      </w:r>
      <w:r w:rsidR="00C96B3C">
        <w:rPr>
          <w:rFonts w:cs="Arial"/>
          <w:szCs w:val="20"/>
        </w:rPr>
        <w:t xml:space="preserve">that are </w:t>
      </w:r>
      <w:r w:rsidR="00216705" w:rsidRPr="00216705">
        <w:rPr>
          <w:rFonts w:cs="Arial"/>
          <w:szCs w:val="20"/>
        </w:rPr>
        <w:t>not applicable for RedCap UEs but are applicable for non-RedCap UEs, and vice-versa.</w:t>
      </w:r>
    </w:p>
    <w:tbl>
      <w:tblPr>
        <w:tblStyle w:val="TableGrid"/>
        <w:tblW w:w="0" w:type="auto"/>
        <w:jc w:val="center"/>
        <w:tblLook w:val="04A0" w:firstRow="1" w:lastRow="0" w:firstColumn="1" w:lastColumn="0" w:noHBand="0" w:noVBand="1"/>
      </w:tblPr>
      <w:tblGrid>
        <w:gridCol w:w="1462"/>
        <w:gridCol w:w="1463"/>
        <w:gridCol w:w="2925"/>
        <w:gridCol w:w="2925"/>
      </w:tblGrid>
      <w:tr w:rsidR="00B90FF7" w:rsidRPr="008F0D84" w14:paraId="6D327C19" w14:textId="77777777" w:rsidTr="00403255">
        <w:trPr>
          <w:trHeight w:val="411"/>
          <w:jc w:val="center"/>
        </w:trPr>
        <w:tc>
          <w:tcPr>
            <w:tcW w:w="2925" w:type="dxa"/>
            <w:gridSpan w:val="2"/>
            <w:shd w:val="clear" w:color="auto" w:fill="BFBFBF" w:themeFill="background1" w:themeFillShade="BF"/>
          </w:tcPr>
          <w:p w14:paraId="149898C0" w14:textId="77777777" w:rsidR="00B90FF7" w:rsidRPr="006C6349" w:rsidRDefault="00B90FF7" w:rsidP="00403255">
            <w:pPr>
              <w:rPr>
                <w:rFonts w:cs="Arial"/>
                <w:b/>
                <w:bCs/>
                <w:sz w:val="20"/>
                <w:szCs w:val="20"/>
              </w:rPr>
            </w:pPr>
            <w:r w:rsidRPr="006C6349">
              <w:rPr>
                <w:rFonts w:cs="Arial"/>
                <w:b/>
                <w:bCs/>
                <w:sz w:val="20"/>
                <w:szCs w:val="20"/>
              </w:rPr>
              <w:t>Capability</w:t>
            </w:r>
          </w:p>
        </w:tc>
        <w:tc>
          <w:tcPr>
            <w:tcW w:w="2925" w:type="dxa"/>
            <w:shd w:val="clear" w:color="auto" w:fill="BFBFBF" w:themeFill="background1" w:themeFillShade="BF"/>
          </w:tcPr>
          <w:p w14:paraId="3D28B220" w14:textId="604417B2" w:rsidR="00B90FF7" w:rsidRPr="006C6349" w:rsidRDefault="00B90FF7" w:rsidP="00403255">
            <w:pPr>
              <w:rPr>
                <w:rFonts w:cs="Arial"/>
                <w:b/>
                <w:bCs/>
                <w:sz w:val="20"/>
                <w:szCs w:val="20"/>
              </w:rPr>
            </w:pPr>
            <w:r w:rsidRPr="006C6349">
              <w:rPr>
                <w:rFonts w:cs="Arial"/>
                <w:b/>
                <w:sz w:val="20"/>
                <w:szCs w:val="20"/>
              </w:rPr>
              <w:t>RedCap UEs</w:t>
            </w:r>
          </w:p>
        </w:tc>
        <w:tc>
          <w:tcPr>
            <w:tcW w:w="2925" w:type="dxa"/>
            <w:shd w:val="clear" w:color="auto" w:fill="BFBFBF" w:themeFill="background1" w:themeFillShade="BF"/>
          </w:tcPr>
          <w:p w14:paraId="5D464E30" w14:textId="2F4DE7A6" w:rsidR="00B90FF7" w:rsidRPr="006C6349" w:rsidRDefault="00B90FF7" w:rsidP="00403255">
            <w:pPr>
              <w:rPr>
                <w:rFonts w:cs="Arial"/>
                <w:b/>
                <w:bCs/>
                <w:sz w:val="20"/>
                <w:szCs w:val="20"/>
              </w:rPr>
            </w:pPr>
            <w:r w:rsidRPr="006C6349">
              <w:rPr>
                <w:rFonts w:cs="Arial"/>
                <w:b/>
                <w:sz w:val="20"/>
                <w:szCs w:val="20"/>
              </w:rPr>
              <w:t>Non-RedCap UEs</w:t>
            </w:r>
          </w:p>
        </w:tc>
      </w:tr>
      <w:tr w:rsidR="006A48B3" w:rsidRPr="008F0D84" w14:paraId="58B9780E" w14:textId="77777777" w:rsidTr="00403255">
        <w:trPr>
          <w:trHeight w:val="417"/>
          <w:jc w:val="center"/>
        </w:trPr>
        <w:tc>
          <w:tcPr>
            <w:tcW w:w="1462" w:type="dxa"/>
            <w:vMerge w:val="restart"/>
          </w:tcPr>
          <w:p w14:paraId="378C5414" w14:textId="25FE3D84" w:rsidR="006A48B3" w:rsidRPr="006C6349" w:rsidRDefault="006A48B3" w:rsidP="00403255">
            <w:pPr>
              <w:rPr>
                <w:rFonts w:cs="Arial"/>
                <w:sz w:val="20"/>
                <w:szCs w:val="20"/>
              </w:rPr>
            </w:pPr>
            <w:r w:rsidRPr="006C6349">
              <w:rPr>
                <w:rFonts w:cs="Arial"/>
                <w:sz w:val="20"/>
                <w:szCs w:val="20"/>
              </w:rPr>
              <w:t>Maximum UE bandwidth</w:t>
            </w:r>
          </w:p>
        </w:tc>
        <w:tc>
          <w:tcPr>
            <w:tcW w:w="1463" w:type="dxa"/>
          </w:tcPr>
          <w:p w14:paraId="71A56D7A" w14:textId="0CE41D46" w:rsidR="006A48B3" w:rsidRPr="006C6349" w:rsidRDefault="006A48B3" w:rsidP="00403255">
            <w:pPr>
              <w:rPr>
                <w:rFonts w:cs="Arial"/>
                <w:sz w:val="20"/>
                <w:szCs w:val="20"/>
              </w:rPr>
            </w:pPr>
            <w:r w:rsidRPr="006C6349">
              <w:rPr>
                <w:rFonts w:cs="Arial"/>
                <w:sz w:val="20"/>
                <w:szCs w:val="20"/>
              </w:rPr>
              <w:t>20/100 MHz for FR1/FR2</w:t>
            </w:r>
          </w:p>
        </w:tc>
        <w:tc>
          <w:tcPr>
            <w:tcW w:w="2925" w:type="dxa"/>
          </w:tcPr>
          <w:p w14:paraId="7265C293" w14:textId="57AB273A" w:rsidR="006A48B3" w:rsidRPr="006C6349" w:rsidRDefault="006A48B3" w:rsidP="00403255">
            <w:pPr>
              <w:rPr>
                <w:rFonts w:cs="Arial"/>
                <w:sz w:val="20"/>
                <w:szCs w:val="20"/>
              </w:rPr>
            </w:pPr>
            <w:r w:rsidRPr="006C6349">
              <w:rPr>
                <w:rFonts w:cs="Arial"/>
                <w:color w:val="00B050"/>
                <w:sz w:val="20"/>
                <w:szCs w:val="20"/>
              </w:rPr>
              <w:t>Applicable</w:t>
            </w:r>
          </w:p>
        </w:tc>
        <w:tc>
          <w:tcPr>
            <w:tcW w:w="2925" w:type="dxa"/>
          </w:tcPr>
          <w:p w14:paraId="44E678EA" w14:textId="21D639AC" w:rsidR="006A48B3" w:rsidRPr="006C6349" w:rsidRDefault="00D93DDD" w:rsidP="00403255">
            <w:pPr>
              <w:rPr>
                <w:rFonts w:cs="Arial"/>
                <w:sz w:val="20"/>
                <w:szCs w:val="20"/>
              </w:rPr>
            </w:pPr>
            <w:r w:rsidRPr="006C6349">
              <w:rPr>
                <w:rFonts w:cs="Arial"/>
                <w:color w:val="FF0000"/>
                <w:sz w:val="20"/>
                <w:szCs w:val="20"/>
              </w:rPr>
              <w:t xml:space="preserve">Not </w:t>
            </w:r>
            <w:proofErr w:type="gramStart"/>
            <w:r w:rsidRPr="006C6349">
              <w:rPr>
                <w:rFonts w:cs="Arial"/>
                <w:color w:val="FF0000"/>
                <w:sz w:val="20"/>
                <w:szCs w:val="20"/>
              </w:rPr>
              <w:t>applicable</w:t>
            </w:r>
            <w:r w:rsidRPr="006C6349">
              <w:rPr>
                <w:rFonts w:cs="Arial"/>
                <w:color w:val="FF0000"/>
                <w:sz w:val="20"/>
                <w:szCs w:val="20"/>
                <w:vertAlign w:val="superscript"/>
              </w:rPr>
              <w:t>[</w:t>
            </w:r>
            <w:proofErr w:type="gramEnd"/>
            <w:r w:rsidRPr="006C6349">
              <w:rPr>
                <w:rFonts w:cs="Arial"/>
                <w:color w:val="FF0000"/>
                <w:sz w:val="20"/>
                <w:szCs w:val="20"/>
                <w:vertAlign w:val="superscript"/>
              </w:rPr>
              <w:t>NOTE 1]</w:t>
            </w:r>
          </w:p>
        </w:tc>
      </w:tr>
      <w:tr w:rsidR="006A48B3" w:rsidRPr="008F0D84" w14:paraId="0C29D160" w14:textId="77777777" w:rsidTr="00403255">
        <w:trPr>
          <w:trHeight w:val="411"/>
          <w:jc w:val="center"/>
        </w:trPr>
        <w:tc>
          <w:tcPr>
            <w:tcW w:w="1462" w:type="dxa"/>
            <w:vMerge/>
          </w:tcPr>
          <w:p w14:paraId="7653172A" w14:textId="77777777" w:rsidR="006A48B3" w:rsidRPr="006C6349" w:rsidRDefault="006A48B3" w:rsidP="00403255">
            <w:pPr>
              <w:rPr>
                <w:rFonts w:cs="Arial"/>
                <w:sz w:val="20"/>
                <w:szCs w:val="20"/>
              </w:rPr>
            </w:pPr>
          </w:p>
        </w:tc>
        <w:tc>
          <w:tcPr>
            <w:tcW w:w="1463" w:type="dxa"/>
          </w:tcPr>
          <w:p w14:paraId="4A61EDFF" w14:textId="2643AF31" w:rsidR="006A48B3" w:rsidRPr="006C6349" w:rsidRDefault="006A48B3" w:rsidP="00403255">
            <w:pPr>
              <w:rPr>
                <w:rFonts w:cs="Arial"/>
                <w:sz w:val="20"/>
                <w:szCs w:val="20"/>
              </w:rPr>
            </w:pPr>
            <w:r w:rsidRPr="006C6349">
              <w:rPr>
                <w:rFonts w:cs="Arial"/>
                <w:sz w:val="20"/>
                <w:szCs w:val="20"/>
              </w:rPr>
              <w:t>Wider than 20/100 MHz for FR1/FR2</w:t>
            </w:r>
          </w:p>
        </w:tc>
        <w:tc>
          <w:tcPr>
            <w:tcW w:w="2925" w:type="dxa"/>
          </w:tcPr>
          <w:p w14:paraId="29F434A4" w14:textId="054DF87E" w:rsidR="006A48B3" w:rsidRPr="006C6349" w:rsidRDefault="006A48B3" w:rsidP="00403255">
            <w:pPr>
              <w:rPr>
                <w:rFonts w:cs="Arial"/>
                <w:sz w:val="20"/>
                <w:szCs w:val="20"/>
              </w:rPr>
            </w:pPr>
            <w:r w:rsidRPr="006C6349">
              <w:rPr>
                <w:rFonts w:cs="Arial"/>
                <w:color w:val="FF0000"/>
                <w:sz w:val="20"/>
                <w:szCs w:val="20"/>
              </w:rPr>
              <w:t>Not applicable</w:t>
            </w:r>
          </w:p>
        </w:tc>
        <w:tc>
          <w:tcPr>
            <w:tcW w:w="2925" w:type="dxa"/>
          </w:tcPr>
          <w:p w14:paraId="18944BBA" w14:textId="1220FCAD" w:rsidR="006A48B3" w:rsidRPr="006C6349" w:rsidRDefault="006A48B3" w:rsidP="00403255">
            <w:pPr>
              <w:rPr>
                <w:rFonts w:cs="Arial"/>
                <w:sz w:val="20"/>
                <w:szCs w:val="20"/>
                <w:vertAlign w:val="superscript"/>
              </w:rPr>
            </w:pPr>
            <w:proofErr w:type="gramStart"/>
            <w:r w:rsidRPr="006C6349">
              <w:rPr>
                <w:rFonts w:cs="Arial"/>
                <w:color w:val="00B050"/>
                <w:sz w:val="20"/>
                <w:szCs w:val="20"/>
              </w:rPr>
              <w:t>Applicable</w:t>
            </w:r>
            <w:r w:rsidRPr="006C6349">
              <w:rPr>
                <w:rFonts w:cs="Arial"/>
                <w:color w:val="00B050"/>
                <w:sz w:val="20"/>
                <w:szCs w:val="20"/>
                <w:vertAlign w:val="superscript"/>
              </w:rPr>
              <w:t>[</w:t>
            </w:r>
            <w:proofErr w:type="gramEnd"/>
            <w:r w:rsidRPr="006C6349">
              <w:rPr>
                <w:rFonts w:cs="Arial"/>
                <w:color w:val="00B050"/>
                <w:sz w:val="20"/>
                <w:szCs w:val="20"/>
                <w:vertAlign w:val="superscript"/>
              </w:rPr>
              <w:t>NOTE 1]</w:t>
            </w:r>
          </w:p>
        </w:tc>
      </w:tr>
      <w:tr w:rsidR="006A48B3" w:rsidRPr="008F0D84" w14:paraId="0DD40C2D" w14:textId="77777777" w:rsidTr="00403255">
        <w:trPr>
          <w:trHeight w:val="411"/>
          <w:jc w:val="center"/>
        </w:trPr>
        <w:tc>
          <w:tcPr>
            <w:tcW w:w="1462" w:type="dxa"/>
            <w:vMerge w:val="restart"/>
          </w:tcPr>
          <w:p w14:paraId="799FC07F" w14:textId="71F7A50E" w:rsidR="006A48B3" w:rsidRPr="006C6349" w:rsidRDefault="006A48B3" w:rsidP="00403255">
            <w:pPr>
              <w:rPr>
                <w:rFonts w:cs="Arial"/>
                <w:sz w:val="20"/>
                <w:szCs w:val="20"/>
              </w:rPr>
            </w:pPr>
            <w:r w:rsidRPr="006C6349">
              <w:rPr>
                <w:rFonts w:cs="Arial"/>
                <w:sz w:val="20"/>
                <w:szCs w:val="20"/>
              </w:rPr>
              <w:t>Minimum number of Rx branches</w:t>
            </w:r>
          </w:p>
        </w:tc>
        <w:tc>
          <w:tcPr>
            <w:tcW w:w="1463" w:type="dxa"/>
          </w:tcPr>
          <w:p w14:paraId="3B520932" w14:textId="4484021F" w:rsidR="006A48B3" w:rsidRPr="006C6349" w:rsidRDefault="006A48B3" w:rsidP="00403255">
            <w:pPr>
              <w:rPr>
                <w:rFonts w:cs="Arial"/>
                <w:sz w:val="20"/>
                <w:szCs w:val="20"/>
              </w:rPr>
            </w:pPr>
            <w:r w:rsidRPr="006C6349">
              <w:rPr>
                <w:rFonts w:cs="Arial"/>
                <w:sz w:val="20"/>
                <w:szCs w:val="20"/>
              </w:rPr>
              <w:t xml:space="preserve">1 </w:t>
            </w:r>
          </w:p>
        </w:tc>
        <w:tc>
          <w:tcPr>
            <w:tcW w:w="2925" w:type="dxa"/>
          </w:tcPr>
          <w:p w14:paraId="55379B47" w14:textId="1E7CDE74" w:rsidR="006A48B3" w:rsidRPr="006C6349" w:rsidRDefault="006A48B3" w:rsidP="00403255">
            <w:pPr>
              <w:rPr>
                <w:rFonts w:cs="Arial"/>
                <w:color w:val="00B050"/>
                <w:sz w:val="20"/>
                <w:szCs w:val="20"/>
              </w:rPr>
            </w:pPr>
            <w:r w:rsidRPr="006C6349">
              <w:rPr>
                <w:rFonts w:cs="Arial"/>
                <w:color w:val="00B050"/>
                <w:sz w:val="20"/>
                <w:szCs w:val="20"/>
              </w:rPr>
              <w:t>Applicable</w:t>
            </w:r>
          </w:p>
        </w:tc>
        <w:tc>
          <w:tcPr>
            <w:tcW w:w="2925" w:type="dxa"/>
          </w:tcPr>
          <w:p w14:paraId="514CE402" w14:textId="6C8D45E7" w:rsidR="006A48B3" w:rsidRPr="006C6349" w:rsidRDefault="006A48B3" w:rsidP="00403255">
            <w:pPr>
              <w:rPr>
                <w:rFonts w:cs="Arial"/>
                <w:sz w:val="20"/>
                <w:szCs w:val="20"/>
              </w:rPr>
            </w:pPr>
            <w:r w:rsidRPr="006C6349">
              <w:rPr>
                <w:rFonts w:cs="Arial"/>
                <w:color w:val="FF0000"/>
                <w:sz w:val="20"/>
                <w:szCs w:val="20"/>
              </w:rPr>
              <w:t>Not applicable</w:t>
            </w:r>
          </w:p>
        </w:tc>
      </w:tr>
      <w:tr w:rsidR="006A48B3" w:rsidRPr="008F0D84" w14:paraId="6C0AD441" w14:textId="77777777" w:rsidTr="00403255">
        <w:trPr>
          <w:trHeight w:val="1048"/>
          <w:jc w:val="center"/>
        </w:trPr>
        <w:tc>
          <w:tcPr>
            <w:tcW w:w="1462" w:type="dxa"/>
            <w:vMerge/>
          </w:tcPr>
          <w:p w14:paraId="05AAB584" w14:textId="77777777" w:rsidR="006A48B3" w:rsidRPr="006C6349" w:rsidRDefault="006A48B3" w:rsidP="00403255">
            <w:pPr>
              <w:rPr>
                <w:rFonts w:cs="Arial"/>
                <w:sz w:val="20"/>
                <w:szCs w:val="20"/>
              </w:rPr>
            </w:pPr>
          </w:p>
        </w:tc>
        <w:tc>
          <w:tcPr>
            <w:tcW w:w="1463" w:type="dxa"/>
          </w:tcPr>
          <w:p w14:paraId="1AE3DFF5" w14:textId="4859ECA2" w:rsidR="006A48B3" w:rsidRPr="006C6349" w:rsidRDefault="006A48B3" w:rsidP="00403255">
            <w:pPr>
              <w:rPr>
                <w:rFonts w:cs="Arial"/>
                <w:sz w:val="20"/>
                <w:szCs w:val="20"/>
              </w:rPr>
            </w:pPr>
            <w:r w:rsidRPr="006C6349">
              <w:rPr>
                <w:rFonts w:cs="Arial"/>
                <w:sz w:val="20"/>
                <w:szCs w:val="20"/>
              </w:rPr>
              <w:t>2</w:t>
            </w:r>
          </w:p>
        </w:tc>
        <w:tc>
          <w:tcPr>
            <w:tcW w:w="2925" w:type="dxa"/>
          </w:tcPr>
          <w:p w14:paraId="33138A07" w14:textId="655A7478" w:rsidR="006A48B3" w:rsidRPr="006C6349" w:rsidRDefault="006A48B3" w:rsidP="00403255">
            <w:pPr>
              <w:rPr>
                <w:rFonts w:cs="Arial"/>
                <w:color w:val="00B050"/>
                <w:sz w:val="20"/>
                <w:szCs w:val="20"/>
              </w:rPr>
            </w:pPr>
            <w:r w:rsidRPr="006C6349">
              <w:rPr>
                <w:rFonts w:cs="Arial"/>
                <w:color w:val="00B050"/>
                <w:sz w:val="20"/>
                <w:szCs w:val="20"/>
              </w:rPr>
              <w:t>Applicable</w:t>
            </w:r>
          </w:p>
        </w:tc>
        <w:tc>
          <w:tcPr>
            <w:tcW w:w="2925" w:type="dxa"/>
          </w:tcPr>
          <w:p w14:paraId="0FA30816" w14:textId="2513328E" w:rsidR="006A48B3" w:rsidRPr="006C6349" w:rsidRDefault="006A48B3" w:rsidP="00403255">
            <w:pPr>
              <w:rPr>
                <w:rFonts w:cs="Arial"/>
                <w:color w:val="FF0000"/>
                <w:sz w:val="20"/>
                <w:szCs w:val="20"/>
              </w:rPr>
            </w:pPr>
            <w:r w:rsidRPr="006C6349">
              <w:rPr>
                <w:rFonts w:cs="Arial"/>
                <w:color w:val="FF0000"/>
                <w:sz w:val="20"/>
                <w:szCs w:val="20"/>
              </w:rPr>
              <w:t xml:space="preserve">Not applicable in bands </w:t>
            </w:r>
            <w:r w:rsidRPr="006C6349">
              <w:rPr>
                <w:color w:val="FF0000"/>
                <w:sz w:val="20"/>
                <w:szCs w:val="20"/>
              </w:rPr>
              <w:t>n7, n38, n41, n77, n78 and n79 (except for vehicular UEs).</w:t>
            </w:r>
          </w:p>
          <w:p w14:paraId="7C79E9CA" w14:textId="23D3B913" w:rsidR="006A48B3" w:rsidRPr="006C6349" w:rsidRDefault="006A48B3" w:rsidP="00403255">
            <w:pPr>
              <w:rPr>
                <w:rFonts w:cs="Arial"/>
                <w:sz w:val="20"/>
                <w:szCs w:val="20"/>
              </w:rPr>
            </w:pPr>
            <w:r w:rsidRPr="006C6349">
              <w:rPr>
                <w:rFonts w:cs="Arial"/>
                <w:color w:val="00B050"/>
                <w:sz w:val="20"/>
                <w:szCs w:val="20"/>
              </w:rPr>
              <w:t>Applicable, otherwise.</w:t>
            </w:r>
          </w:p>
        </w:tc>
      </w:tr>
      <w:tr w:rsidR="006A48B3" w:rsidRPr="00FC0531" w14:paraId="20DAF938" w14:textId="77777777" w:rsidTr="00403255">
        <w:trPr>
          <w:trHeight w:val="1087"/>
          <w:jc w:val="center"/>
        </w:trPr>
        <w:tc>
          <w:tcPr>
            <w:tcW w:w="1462" w:type="dxa"/>
            <w:vMerge w:val="restart"/>
          </w:tcPr>
          <w:p w14:paraId="0A9C3D73" w14:textId="07C70A7C" w:rsidR="006A48B3" w:rsidRPr="006C6349" w:rsidRDefault="006A48B3" w:rsidP="00403255">
            <w:pPr>
              <w:rPr>
                <w:rFonts w:cs="Arial"/>
                <w:sz w:val="20"/>
                <w:szCs w:val="20"/>
              </w:rPr>
            </w:pPr>
            <w:r w:rsidRPr="006C6349">
              <w:rPr>
                <w:rFonts w:cs="Arial"/>
                <w:sz w:val="20"/>
                <w:szCs w:val="20"/>
              </w:rPr>
              <w:t>Maximum number of DL MIMO layers</w:t>
            </w:r>
          </w:p>
        </w:tc>
        <w:tc>
          <w:tcPr>
            <w:tcW w:w="1463" w:type="dxa"/>
          </w:tcPr>
          <w:p w14:paraId="767DB4C6" w14:textId="1C86977C" w:rsidR="006A48B3" w:rsidRPr="006C6349" w:rsidRDefault="006A48B3" w:rsidP="00403255">
            <w:pPr>
              <w:rPr>
                <w:rFonts w:cs="Arial"/>
                <w:sz w:val="20"/>
                <w:szCs w:val="20"/>
              </w:rPr>
            </w:pPr>
            <w:r w:rsidRPr="006C6349">
              <w:rPr>
                <w:rFonts w:cs="Arial"/>
                <w:sz w:val="20"/>
                <w:szCs w:val="20"/>
              </w:rPr>
              <w:t>1</w:t>
            </w:r>
          </w:p>
        </w:tc>
        <w:tc>
          <w:tcPr>
            <w:tcW w:w="2925" w:type="dxa"/>
          </w:tcPr>
          <w:p w14:paraId="4F8D172D" w14:textId="03CDAD14" w:rsidR="006A48B3" w:rsidRPr="006C6349" w:rsidRDefault="006A48B3" w:rsidP="00403255">
            <w:pPr>
              <w:rPr>
                <w:rFonts w:cs="Arial"/>
                <w:color w:val="00B050"/>
                <w:sz w:val="20"/>
                <w:szCs w:val="20"/>
              </w:rPr>
            </w:pPr>
            <w:r w:rsidRPr="006C6349">
              <w:rPr>
                <w:rFonts w:cs="Arial"/>
                <w:color w:val="00B050"/>
                <w:sz w:val="20"/>
                <w:szCs w:val="20"/>
              </w:rPr>
              <w:t xml:space="preserve">Applicable, for a RedCap UE with 1 Rx branch. </w:t>
            </w:r>
          </w:p>
          <w:p w14:paraId="72BEEDF0" w14:textId="12C842A1" w:rsidR="006A48B3" w:rsidRPr="006C6349" w:rsidRDefault="006A48B3" w:rsidP="00403255">
            <w:pPr>
              <w:rPr>
                <w:rFonts w:cs="Arial"/>
                <w:sz w:val="20"/>
                <w:szCs w:val="20"/>
              </w:rPr>
            </w:pPr>
            <w:r w:rsidRPr="006C6349">
              <w:rPr>
                <w:rFonts w:cs="Arial"/>
                <w:color w:val="FF0000"/>
                <w:sz w:val="20"/>
                <w:szCs w:val="20"/>
              </w:rPr>
              <w:t>Not applicable, otherwise.</w:t>
            </w:r>
          </w:p>
        </w:tc>
        <w:tc>
          <w:tcPr>
            <w:tcW w:w="2925" w:type="dxa"/>
          </w:tcPr>
          <w:p w14:paraId="21BB132A" w14:textId="3ECCB127" w:rsidR="006A48B3" w:rsidRPr="006C6349" w:rsidRDefault="00AA4D90" w:rsidP="00403255">
            <w:pPr>
              <w:rPr>
                <w:rFonts w:cs="Arial"/>
                <w:color w:val="FF0000"/>
                <w:sz w:val="20"/>
                <w:szCs w:val="20"/>
              </w:rPr>
            </w:pPr>
            <w:r w:rsidRPr="006C6349">
              <w:rPr>
                <w:rFonts w:cs="Arial"/>
                <w:color w:val="FF0000"/>
                <w:sz w:val="20"/>
                <w:szCs w:val="20"/>
              </w:rPr>
              <w:t xml:space="preserve">Not </w:t>
            </w:r>
            <w:proofErr w:type="gramStart"/>
            <w:r w:rsidRPr="006C6349">
              <w:rPr>
                <w:rFonts w:cs="Arial"/>
                <w:color w:val="FF0000"/>
                <w:sz w:val="20"/>
                <w:szCs w:val="20"/>
              </w:rPr>
              <w:t>applicable</w:t>
            </w:r>
            <w:r w:rsidRPr="006C6349">
              <w:rPr>
                <w:rFonts w:cs="Arial"/>
                <w:color w:val="FF0000"/>
                <w:sz w:val="20"/>
                <w:szCs w:val="20"/>
                <w:vertAlign w:val="superscript"/>
              </w:rPr>
              <w:t>[</w:t>
            </w:r>
            <w:proofErr w:type="gramEnd"/>
            <w:r w:rsidRPr="006C6349">
              <w:rPr>
                <w:rFonts w:cs="Arial"/>
                <w:color w:val="FF0000"/>
                <w:sz w:val="20"/>
                <w:szCs w:val="20"/>
                <w:vertAlign w:val="superscript"/>
              </w:rPr>
              <w:t>NOTE 2]</w:t>
            </w:r>
          </w:p>
        </w:tc>
      </w:tr>
      <w:tr w:rsidR="006A48B3" w:rsidRPr="008F0D84" w14:paraId="725CA7B9" w14:textId="77777777" w:rsidTr="00403255">
        <w:trPr>
          <w:trHeight w:val="1093"/>
          <w:jc w:val="center"/>
        </w:trPr>
        <w:tc>
          <w:tcPr>
            <w:tcW w:w="1462" w:type="dxa"/>
            <w:vMerge/>
          </w:tcPr>
          <w:p w14:paraId="770E82C1" w14:textId="77777777" w:rsidR="006A48B3" w:rsidRPr="006C6349" w:rsidRDefault="006A48B3" w:rsidP="00403255">
            <w:pPr>
              <w:rPr>
                <w:rFonts w:cs="Arial"/>
                <w:color w:val="FF0000"/>
                <w:sz w:val="20"/>
                <w:szCs w:val="20"/>
              </w:rPr>
            </w:pPr>
          </w:p>
        </w:tc>
        <w:tc>
          <w:tcPr>
            <w:tcW w:w="1463" w:type="dxa"/>
          </w:tcPr>
          <w:p w14:paraId="0B978D59" w14:textId="3CBBFF4D" w:rsidR="006A48B3" w:rsidRPr="006C6349" w:rsidRDefault="006A48B3" w:rsidP="00403255">
            <w:pPr>
              <w:rPr>
                <w:rFonts w:cs="Arial"/>
                <w:color w:val="FF0000"/>
                <w:sz w:val="20"/>
                <w:szCs w:val="20"/>
              </w:rPr>
            </w:pPr>
            <w:r w:rsidRPr="006C6349">
              <w:rPr>
                <w:rFonts w:cs="Arial"/>
                <w:sz w:val="20"/>
                <w:szCs w:val="20"/>
              </w:rPr>
              <w:t>2</w:t>
            </w:r>
          </w:p>
        </w:tc>
        <w:tc>
          <w:tcPr>
            <w:tcW w:w="2925" w:type="dxa"/>
          </w:tcPr>
          <w:p w14:paraId="5016450E" w14:textId="58267B5F" w:rsidR="006A48B3" w:rsidRPr="006C6349" w:rsidRDefault="006A48B3" w:rsidP="00403255">
            <w:pPr>
              <w:rPr>
                <w:rFonts w:cs="Arial"/>
                <w:color w:val="FF0000"/>
                <w:sz w:val="20"/>
                <w:szCs w:val="20"/>
              </w:rPr>
            </w:pPr>
            <w:r w:rsidRPr="006C6349">
              <w:rPr>
                <w:rFonts w:cs="Arial"/>
                <w:color w:val="00B050"/>
                <w:sz w:val="20"/>
                <w:szCs w:val="20"/>
              </w:rPr>
              <w:t>Applicable, for a RedCap UE with 2 Rx branches.</w:t>
            </w:r>
          </w:p>
        </w:tc>
        <w:tc>
          <w:tcPr>
            <w:tcW w:w="2925" w:type="dxa"/>
          </w:tcPr>
          <w:p w14:paraId="01640CFF" w14:textId="04DC2028" w:rsidR="006A48B3" w:rsidRPr="006C6349" w:rsidRDefault="006A48B3" w:rsidP="00403255">
            <w:pPr>
              <w:rPr>
                <w:rFonts w:cs="Arial"/>
                <w:color w:val="00B050"/>
                <w:sz w:val="20"/>
                <w:szCs w:val="20"/>
              </w:rPr>
            </w:pPr>
            <w:r w:rsidRPr="006C6349">
              <w:rPr>
                <w:rFonts w:cs="Arial"/>
                <w:color w:val="00B050"/>
                <w:sz w:val="20"/>
                <w:szCs w:val="20"/>
              </w:rPr>
              <w:t xml:space="preserve">Applicable, for a non-RedCap UE with 2 Rx branches. </w:t>
            </w:r>
          </w:p>
          <w:p w14:paraId="76533D1E" w14:textId="5051B387" w:rsidR="006A48B3" w:rsidRPr="006C6349" w:rsidRDefault="006A48B3" w:rsidP="00403255">
            <w:pPr>
              <w:rPr>
                <w:rFonts w:cs="Arial"/>
                <w:sz w:val="20"/>
                <w:szCs w:val="20"/>
              </w:rPr>
            </w:pPr>
            <w:r w:rsidRPr="006C6349">
              <w:rPr>
                <w:rFonts w:cs="Arial"/>
                <w:color w:val="FF0000"/>
                <w:sz w:val="20"/>
                <w:szCs w:val="20"/>
              </w:rPr>
              <w:t xml:space="preserve">Not </w:t>
            </w:r>
            <w:proofErr w:type="gramStart"/>
            <w:r w:rsidRPr="006C6349">
              <w:rPr>
                <w:rFonts w:cs="Arial"/>
                <w:color w:val="FF0000"/>
                <w:sz w:val="20"/>
                <w:szCs w:val="20"/>
              </w:rPr>
              <w:t>applicable</w:t>
            </w:r>
            <w:r w:rsidRPr="006C6349">
              <w:rPr>
                <w:rFonts w:cs="Arial"/>
                <w:color w:val="FF0000"/>
                <w:sz w:val="20"/>
                <w:szCs w:val="20"/>
                <w:vertAlign w:val="superscript"/>
              </w:rPr>
              <w:t>[</w:t>
            </w:r>
            <w:proofErr w:type="gramEnd"/>
            <w:r w:rsidRPr="006C6349">
              <w:rPr>
                <w:rFonts w:cs="Arial"/>
                <w:color w:val="FF0000"/>
                <w:sz w:val="20"/>
                <w:szCs w:val="20"/>
                <w:vertAlign w:val="superscript"/>
              </w:rPr>
              <w:t>NOTE 2]</w:t>
            </w:r>
            <w:r w:rsidRPr="006C6349">
              <w:rPr>
                <w:rFonts w:cs="Arial"/>
                <w:color w:val="FF0000"/>
                <w:sz w:val="20"/>
                <w:szCs w:val="20"/>
              </w:rPr>
              <w:t>, otherwise.</w:t>
            </w:r>
          </w:p>
        </w:tc>
      </w:tr>
      <w:tr w:rsidR="00B90FF7" w:rsidRPr="008F0D84" w14:paraId="0EE67633" w14:textId="77777777" w:rsidTr="00403255">
        <w:trPr>
          <w:trHeight w:val="411"/>
          <w:jc w:val="center"/>
        </w:trPr>
        <w:tc>
          <w:tcPr>
            <w:tcW w:w="2925" w:type="dxa"/>
            <w:gridSpan w:val="2"/>
          </w:tcPr>
          <w:p w14:paraId="679B6B4D" w14:textId="1B1F92B8" w:rsidR="00B90FF7" w:rsidRPr="006C6349" w:rsidRDefault="00B90FF7" w:rsidP="00403255">
            <w:pPr>
              <w:rPr>
                <w:rFonts w:cs="Arial"/>
                <w:sz w:val="20"/>
                <w:szCs w:val="20"/>
              </w:rPr>
            </w:pPr>
            <w:r w:rsidRPr="006C6349">
              <w:rPr>
                <w:rFonts w:cs="Arial"/>
                <w:sz w:val="20"/>
                <w:szCs w:val="20"/>
              </w:rPr>
              <w:t>HD-FDD</w:t>
            </w:r>
            <w:r w:rsidR="000D7CA3" w:rsidRPr="006C6349">
              <w:rPr>
                <w:rFonts w:cs="Arial"/>
                <w:sz w:val="20"/>
                <w:szCs w:val="20"/>
              </w:rPr>
              <w:t xml:space="preserve"> Type A</w:t>
            </w:r>
          </w:p>
        </w:tc>
        <w:tc>
          <w:tcPr>
            <w:tcW w:w="2925" w:type="dxa"/>
          </w:tcPr>
          <w:p w14:paraId="507055FE" w14:textId="6072BC11" w:rsidR="00B90FF7" w:rsidRPr="006C6349" w:rsidRDefault="00B90FF7" w:rsidP="00403255">
            <w:pPr>
              <w:rPr>
                <w:rFonts w:cs="Arial"/>
                <w:color w:val="00B050"/>
                <w:sz w:val="20"/>
                <w:szCs w:val="20"/>
              </w:rPr>
            </w:pPr>
            <w:r w:rsidRPr="006C6349">
              <w:rPr>
                <w:rFonts w:cs="Arial"/>
                <w:color w:val="00B050"/>
                <w:sz w:val="20"/>
                <w:szCs w:val="20"/>
              </w:rPr>
              <w:t>A</w:t>
            </w:r>
            <w:r w:rsidR="000D7CA3" w:rsidRPr="006C6349">
              <w:rPr>
                <w:rFonts w:cs="Arial"/>
                <w:color w:val="00B050"/>
                <w:sz w:val="20"/>
                <w:szCs w:val="20"/>
              </w:rPr>
              <w:t>pplicable</w:t>
            </w:r>
          </w:p>
        </w:tc>
        <w:tc>
          <w:tcPr>
            <w:tcW w:w="2925" w:type="dxa"/>
          </w:tcPr>
          <w:p w14:paraId="009FD622" w14:textId="13D70FDD" w:rsidR="00B90FF7" w:rsidRPr="006C6349" w:rsidRDefault="00B90FF7" w:rsidP="00403255">
            <w:pPr>
              <w:rPr>
                <w:rFonts w:cs="Arial"/>
                <w:sz w:val="20"/>
                <w:szCs w:val="20"/>
              </w:rPr>
            </w:pPr>
            <w:r w:rsidRPr="006C6349">
              <w:rPr>
                <w:rFonts w:cs="Arial"/>
                <w:color w:val="FF0000"/>
                <w:sz w:val="20"/>
                <w:szCs w:val="20"/>
              </w:rPr>
              <w:t xml:space="preserve">Not </w:t>
            </w:r>
            <w:r w:rsidR="000D7CA3" w:rsidRPr="006C6349">
              <w:rPr>
                <w:rFonts w:cs="Arial"/>
                <w:color w:val="FF0000"/>
                <w:sz w:val="20"/>
                <w:szCs w:val="20"/>
              </w:rPr>
              <w:t>applicable</w:t>
            </w:r>
          </w:p>
        </w:tc>
      </w:tr>
      <w:tr w:rsidR="00B90FF7" w:rsidRPr="008F0D84" w14:paraId="671CA440" w14:textId="77777777" w:rsidTr="00403255">
        <w:trPr>
          <w:trHeight w:val="411"/>
          <w:jc w:val="center"/>
        </w:trPr>
        <w:tc>
          <w:tcPr>
            <w:tcW w:w="2925" w:type="dxa"/>
            <w:gridSpan w:val="2"/>
          </w:tcPr>
          <w:p w14:paraId="3A513D93" w14:textId="53F5F938" w:rsidR="00B90FF7" w:rsidRPr="006C6349" w:rsidRDefault="00B90FF7" w:rsidP="00403255">
            <w:pPr>
              <w:rPr>
                <w:rFonts w:cs="Arial"/>
                <w:sz w:val="20"/>
                <w:szCs w:val="20"/>
              </w:rPr>
            </w:pPr>
            <w:r w:rsidRPr="006C6349">
              <w:rPr>
                <w:rFonts w:cs="Arial"/>
                <w:sz w:val="20"/>
                <w:szCs w:val="20"/>
              </w:rPr>
              <w:t>C</w:t>
            </w:r>
            <w:r w:rsidR="000D7CA3" w:rsidRPr="006C6349">
              <w:rPr>
                <w:rFonts w:cs="Arial"/>
                <w:sz w:val="20"/>
                <w:szCs w:val="20"/>
              </w:rPr>
              <w:t>arrier aggregation</w:t>
            </w:r>
            <w:r w:rsidR="00695F2D" w:rsidRPr="006C6349">
              <w:rPr>
                <w:rFonts w:cs="Arial"/>
                <w:sz w:val="20"/>
                <w:szCs w:val="20"/>
              </w:rPr>
              <w:t xml:space="preserve"> (including any and all features that require support for carrier aggregation) </w:t>
            </w:r>
          </w:p>
        </w:tc>
        <w:tc>
          <w:tcPr>
            <w:tcW w:w="2925" w:type="dxa"/>
          </w:tcPr>
          <w:p w14:paraId="59B3F479" w14:textId="4DE85DC5" w:rsidR="00B90FF7" w:rsidRPr="006C6349" w:rsidRDefault="00B90FF7" w:rsidP="00403255">
            <w:pPr>
              <w:rPr>
                <w:rFonts w:cs="Arial"/>
                <w:color w:val="00B050"/>
                <w:sz w:val="20"/>
                <w:szCs w:val="20"/>
              </w:rPr>
            </w:pPr>
            <w:r w:rsidRPr="006C6349">
              <w:rPr>
                <w:rFonts w:cs="Arial"/>
                <w:color w:val="FF0000"/>
                <w:sz w:val="20"/>
                <w:szCs w:val="20"/>
              </w:rPr>
              <w:t xml:space="preserve">Not </w:t>
            </w:r>
            <w:r w:rsidR="000D7CA3" w:rsidRPr="006C6349">
              <w:rPr>
                <w:rFonts w:cs="Arial"/>
                <w:color w:val="FF0000"/>
                <w:sz w:val="20"/>
                <w:szCs w:val="20"/>
              </w:rPr>
              <w:t>applicable</w:t>
            </w:r>
          </w:p>
        </w:tc>
        <w:tc>
          <w:tcPr>
            <w:tcW w:w="2925" w:type="dxa"/>
          </w:tcPr>
          <w:p w14:paraId="67B6B3CD" w14:textId="06061328" w:rsidR="00B90FF7" w:rsidRPr="006C6349" w:rsidRDefault="00B90FF7" w:rsidP="00403255">
            <w:pPr>
              <w:rPr>
                <w:rFonts w:cs="Arial"/>
                <w:sz w:val="20"/>
                <w:szCs w:val="20"/>
              </w:rPr>
            </w:pPr>
            <w:r w:rsidRPr="006C6349">
              <w:rPr>
                <w:rFonts w:cs="Arial"/>
                <w:color w:val="00B050"/>
                <w:sz w:val="20"/>
                <w:szCs w:val="20"/>
              </w:rPr>
              <w:t>A</w:t>
            </w:r>
            <w:r w:rsidR="000D7CA3" w:rsidRPr="006C6349">
              <w:rPr>
                <w:rFonts w:cs="Arial"/>
                <w:color w:val="00B050"/>
                <w:sz w:val="20"/>
                <w:szCs w:val="20"/>
              </w:rPr>
              <w:t>pplicable</w:t>
            </w:r>
          </w:p>
        </w:tc>
      </w:tr>
      <w:tr w:rsidR="00B90FF7" w:rsidRPr="008F0D84" w14:paraId="6A177CE2" w14:textId="77777777" w:rsidTr="00403255">
        <w:trPr>
          <w:trHeight w:val="417"/>
          <w:jc w:val="center"/>
        </w:trPr>
        <w:tc>
          <w:tcPr>
            <w:tcW w:w="2925" w:type="dxa"/>
            <w:gridSpan w:val="2"/>
          </w:tcPr>
          <w:p w14:paraId="50D610DA" w14:textId="66F35BD5" w:rsidR="00695F2D" w:rsidRPr="006C6349" w:rsidRDefault="00B90FF7" w:rsidP="00403255">
            <w:pPr>
              <w:rPr>
                <w:rFonts w:cs="Arial"/>
                <w:sz w:val="20"/>
                <w:szCs w:val="20"/>
              </w:rPr>
            </w:pPr>
            <w:r w:rsidRPr="006C6349">
              <w:rPr>
                <w:rFonts w:cs="Arial"/>
                <w:sz w:val="20"/>
                <w:szCs w:val="20"/>
              </w:rPr>
              <w:t>D</w:t>
            </w:r>
            <w:r w:rsidR="000D7CA3" w:rsidRPr="006C6349">
              <w:rPr>
                <w:rFonts w:cs="Arial"/>
                <w:sz w:val="20"/>
                <w:szCs w:val="20"/>
              </w:rPr>
              <w:t>ual connectivity</w:t>
            </w:r>
            <w:r w:rsidR="00695F2D" w:rsidRPr="006C6349">
              <w:rPr>
                <w:rFonts w:cs="Arial"/>
                <w:sz w:val="20"/>
                <w:szCs w:val="20"/>
              </w:rPr>
              <w:t xml:space="preserve"> (including any and all features that require support for dual connectivity)</w:t>
            </w:r>
          </w:p>
        </w:tc>
        <w:tc>
          <w:tcPr>
            <w:tcW w:w="2925" w:type="dxa"/>
          </w:tcPr>
          <w:p w14:paraId="3F5160B9" w14:textId="1CE5F6D0" w:rsidR="00B90FF7" w:rsidRPr="006C6349" w:rsidRDefault="000D7CA3" w:rsidP="00403255">
            <w:pPr>
              <w:rPr>
                <w:rFonts w:cs="Arial"/>
                <w:sz w:val="20"/>
                <w:szCs w:val="20"/>
              </w:rPr>
            </w:pPr>
            <w:r w:rsidRPr="006C6349">
              <w:rPr>
                <w:rFonts w:cs="Arial"/>
                <w:color w:val="FF0000"/>
                <w:sz w:val="20"/>
                <w:szCs w:val="20"/>
              </w:rPr>
              <w:t>Not applicable</w:t>
            </w:r>
          </w:p>
        </w:tc>
        <w:tc>
          <w:tcPr>
            <w:tcW w:w="2925" w:type="dxa"/>
          </w:tcPr>
          <w:p w14:paraId="2FF877C5" w14:textId="6883C1F4" w:rsidR="00B90FF7" w:rsidRPr="006C6349" w:rsidRDefault="000D7CA3" w:rsidP="00403255">
            <w:pPr>
              <w:rPr>
                <w:rFonts w:cs="Arial"/>
                <w:color w:val="00B050"/>
                <w:sz w:val="20"/>
                <w:szCs w:val="20"/>
              </w:rPr>
            </w:pPr>
            <w:r w:rsidRPr="006C6349">
              <w:rPr>
                <w:rFonts w:cs="Arial"/>
                <w:color w:val="00B050"/>
                <w:sz w:val="20"/>
                <w:szCs w:val="20"/>
              </w:rPr>
              <w:t>Applicable</w:t>
            </w:r>
          </w:p>
        </w:tc>
      </w:tr>
      <w:tr w:rsidR="00B90FF7" w:rsidRPr="008F0D84" w14:paraId="69890FBD" w14:textId="77777777" w:rsidTr="00403255">
        <w:trPr>
          <w:trHeight w:val="411"/>
          <w:jc w:val="center"/>
        </w:trPr>
        <w:tc>
          <w:tcPr>
            <w:tcW w:w="8775" w:type="dxa"/>
            <w:gridSpan w:val="4"/>
          </w:tcPr>
          <w:p w14:paraId="221ECC69" w14:textId="431FC3F9" w:rsidR="00B90FF7" w:rsidRPr="006C6349" w:rsidRDefault="00B90FF7" w:rsidP="00403255">
            <w:pPr>
              <w:rPr>
                <w:rFonts w:cs="Arial"/>
                <w:sz w:val="20"/>
                <w:szCs w:val="20"/>
              </w:rPr>
            </w:pPr>
            <w:r w:rsidRPr="006C6349">
              <w:rPr>
                <w:rFonts w:cs="Arial"/>
                <w:sz w:val="20"/>
                <w:szCs w:val="20"/>
              </w:rPr>
              <w:t>Note 1: Support of at least 100 MHz in FR1 and 200 MHz in FR2 is mandatory</w:t>
            </w:r>
            <w:r w:rsidR="008A6677" w:rsidRPr="006C6349">
              <w:rPr>
                <w:rFonts w:cs="Arial"/>
                <w:sz w:val="20"/>
                <w:szCs w:val="20"/>
              </w:rPr>
              <w:t xml:space="preserve"> for non-RedCap UEs</w:t>
            </w:r>
            <w:r w:rsidRPr="006C6349">
              <w:rPr>
                <w:rFonts w:cs="Arial"/>
                <w:sz w:val="20"/>
                <w:szCs w:val="20"/>
              </w:rPr>
              <w:t xml:space="preserve"> (cf. TS 38.306).</w:t>
            </w:r>
          </w:p>
          <w:p w14:paraId="1294979D" w14:textId="77777777" w:rsidR="00B90FF7" w:rsidRPr="006C6349" w:rsidRDefault="00B90FF7" w:rsidP="00403255">
            <w:pPr>
              <w:rPr>
                <w:rFonts w:cs="Arial"/>
                <w:sz w:val="20"/>
                <w:szCs w:val="20"/>
              </w:rPr>
            </w:pPr>
            <w:r w:rsidRPr="006C6349">
              <w:rPr>
                <w:rFonts w:cs="Arial"/>
                <w:sz w:val="20"/>
                <w:szCs w:val="20"/>
              </w:rPr>
              <w:t>Note 2: For single CC standalone NR, it is mandatory with capability signaling to support at least 4 MIMO layers in the bands where 4 Rx is specified as mandatory (cf. TS 38.306).</w:t>
            </w:r>
          </w:p>
        </w:tc>
      </w:tr>
    </w:tbl>
    <w:p w14:paraId="499BB15E" w14:textId="0F0546CF" w:rsidR="00061DBD" w:rsidRDefault="00061DBD" w:rsidP="00E86719">
      <w:pPr>
        <w:pStyle w:val="Observation"/>
        <w:numPr>
          <w:ilvl w:val="0"/>
          <w:numId w:val="0"/>
        </w:numPr>
      </w:pPr>
    </w:p>
    <w:p w14:paraId="587A2F24" w14:textId="799CA344" w:rsidR="00695F2D" w:rsidRDefault="00C961DE" w:rsidP="001538D3">
      <w:pPr>
        <w:pStyle w:val="ArialText"/>
      </w:pPr>
      <w:r>
        <w:t>For</w:t>
      </w:r>
      <w:r w:rsidR="00695F2D" w:rsidRPr="00695F2D">
        <w:t xml:space="preserve"> support </w:t>
      </w:r>
      <w:r>
        <w:t>of</w:t>
      </w:r>
      <w:r w:rsidR="00695F2D" w:rsidRPr="00695F2D">
        <w:t xml:space="preserve"> IAB</w:t>
      </w:r>
      <w:r w:rsidR="00695F2D">
        <w:t xml:space="preserve"> and URLLC related capabilities</w:t>
      </w:r>
      <w:r w:rsidR="00695F2D" w:rsidRPr="00695F2D">
        <w:t>, RAN2 has made the following agreement during RAN2#115-e</w:t>
      </w:r>
      <w:r>
        <w:t xml:space="preserve"> </w:t>
      </w:r>
      <w:r>
        <w:fldChar w:fldCharType="begin"/>
      </w:r>
      <w:r>
        <w:instrText xml:space="preserve"> REF _Ref83125347 \r \h </w:instrText>
      </w:r>
      <w:r>
        <w:fldChar w:fldCharType="separate"/>
      </w:r>
      <w:r>
        <w:t>[5]</w:t>
      </w:r>
      <w:r>
        <w:fldChar w:fldCharType="end"/>
      </w:r>
      <w:r w:rsidR="00695F2D" w:rsidRPr="00695F2D">
        <w:t>:</w:t>
      </w:r>
    </w:p>
    <w:tbl>
      <w:tblPr>
        <w:tblStyle w:val="TableGrid"/>
        <w:tblW w:w="0" w:type="auto"/>
        <w:tblLook w:val="04A0" w:firstRow="1" w:lastRow="0" w:firstColumn="1" w:lastColumn="0" w:noHBand="0" w:noVBand="1"/>
      </w:tblPr>
      <w:tblGrid>
        <w:gridCol w:w="9629"/>
      </w:tblGrid>
      <w:tr w:rsidR="00695F2D" w14:paraId="017CB258" w14:textId="77777777" w:rsidTr="00695F2D">
        <w:tc>
          <w:tcPr>
            <w:tcW w:w="9629" w:type="dxa"/>
          </w:tcPr>
          <w:p w14:paraId="59B1397E" w14:textId="77777777" w:rsidR="00695F2D" w:rsidRPr="00B33AD3" w:rsidRDefault="00695F2D" w:rsidP="00695F2D">
            <w:pPr>
              <w:rPr>
                <w:rFonts w:cs="Arial"/>
                <w:sz w:val="20"/>
                <w:szCs w:val="20"/>
              </w:rPr>
            </w:pPr>
            <w:r w:rsidRPr="00B33AD3">
              <w:rPr>
                <w:rFonts w:cs="Arial"/>
                <w:sz w:val="20"/>
                <w:szCs w:val="20"/>
              </w:rPr>
              <w:t>Agreements via email - from offline 109:</w:t>
            </w:r>
          </w:p>
          <w:p w14:paraId="6D9398AD" w14:textId="1CDFEEB3" w:rsidR="00B33AD3" w:rsidRPr="00B33AD3" w:rsidRDefault="00B33AD3" w:rsidP="00695F2D">
            <w:pPr>
              <w:pStyle w:val="ListParagraph"/>
              <w:widowControl w:val="0"/>
              <w:numPr>
                <w:ilvl w:val="0"/>
                <w:numId w:val="29"/>
              </w:numPr>
              <w:spacing w:line="240" w:lineRule="auto"/>
              <w:jc w:val="both"/>
              <w:rPr>
                <w:rFonts w:ascii="Arial" w:hAnsi="Arial" w:cs="Arial"/>
                <w:sz w:val="20"/>
                <w:szCs w:val="20"/>
              </w:rPr>
            </w:pPr>
            <w:r w:rsidRPr="00B33AD3">
              <w:rPr>
                <w:rFonts w:ascii="Arial" w:hAnsi="Arial" w:cs="Arial"/>
                <w:sz w:val="20"/>
                <w:szCs w:val="20"/>
                <w:lang w:val="en-US"/>
              </w:rPr>
              <w:t>[…]</w:t>
            </w:r>
          </w:p>
          <w:p w14:paraId="39A66C29" w14:textId="190EF32C" w:rsidR="00695F2D" w:rsidRPr="00B33AD3" w:rsidRDefault="00695F2D" w:rsidP="00695F2D">
            <w:pPr>
              <w:pStyle w:val="ListParagraph"/>
              <w:widowControl w:val="0"/>
              <w:numPr>
                <w:ilvl w:val="0"/>
                <w:numId w:val="29"/>
              </w:numPr>
              <w:spacing w:line="240" w:lineRule="auto"/>
              <w:jc w:val="both"/>
              <w:rPr>
                <w:rFonts w:ascii="Arial" w:hAnsi="Arial" w:cs="Arial"/>
                <w:sz w:val="20"/>
                <w:szCs w:val="20"/>
              </w:rPr>
            </w:pPr>
            <w:r w:rsidRPr="00B33AD3">
              <w:rPr>
                <w:rFonts w:ascii="Arial" w:hAnsi="Arial" w:cs="Arial"/>
                <w:sz w:val="20"/>
                <w:szCs w:val="20"/>
              </w:rPr>
              <w:t>From RAN2 perspective, URLLC related capabilities are applicable for RedCap UE except those affected by CA/DC;</w:t>
            </w:r>
          </w:p>
          <w:p w14:paraId="40904333" w14:textId="55D502F2" w:rsidR="00695F2D" w:rsidRPr="00B33AD3" w:rsidRDefault="00695F2D" w:rsidP="00695F2D">
            <w:pPr>
              <w:pStyle w:val="ListParagraph"/>
              <w:widowControl w:val="0"/>
              <w:numPr>
                <w:ilvl w:val="0"/>
                <w:numId w:val="29"/>
              </w:numPr>
              <w:spacing w:line="240" w:lineRule="auto"/>
              <w:jc w:val="both"/>
              <w:rPr>
                <w:rFonts w:ascii="Arial" w:hAnsi="Arial" w:cs="Arial"/>
                <w:sz w:val="20"/>
                <w:szCs w:val="20"/>
              </w:rPr>
            </w:pPr>
            <w:r w:rsidRPr="00B33AD3">
              <w:rPr>
                <w:rFonts w:ascii="Arial" w:hAnsi="Arial" w:cs="Arial"/>
                <w:sz w:val="20"/>
                <w:szCs w:val="20"/>
              </w:rPr>
              <w:lastRenderedPageBreak/>
              <w:t>From RAN2 perspective, IAB related capabilities are not applicable for RedCap UE, i.e. the RedCap UE is not expected to act as IAB node;</w:t>
            </w:r>
          </w:p>
          <w:p w14:paraId="68077768" w14:textId="527F7E7F" w:rsidR="00695F2D" w:rsidRPr="00B33AD3" w:rsidRDefault="00B33AD3" w:rsidP="00B33AD3">
            <w:pPr>
              <w:pStyle w:val="ListParagraph"/>
              <w:widowControl w:val="0"/>
              <w:numPr>
                <w:ilvl w:val="0"/>
                <w:numId w:val="29"/>
              </w:numPr>
              <w:spacing w:line="240" w:lineRule="auto"/>
              <w:jc w:val="both"/>
              <w:rPr>
                <w:rFonts w:ascii="Arial" w:hAnsi="Arial" w:cs="Arial"/>
                <w:sz w:val="20"/>
                <w:szCs w:val="20"/>
              </w:rPr>
            </w:pPr>
            <w:r w:rsidRPr="00B33AD3">
              <w:rPr>
                <w:rFonts w:ascii="Arial" w:hAnsi="Arial" w:cs="Arial"/>
                <w:sz w:val="20"/>
                <w:szCs w:val="20"/>
                <w:lang w:val="en-US"/>
              </w:rPr>
              <w:t>[…]</w:t>
            </w:r>
          </w:p>
        </w:tc>
      </w:tr>
    </w:tbl>
    <w:p w14:paraId="4B4772A0" w14:textId="093058C6" w:rsidR="00695F2D" w:rsidRDefault="00695F2D" w:rsidP="00E86719">
      <w:pPr>
        <w:pStyle w:val="Observation"/>
        <w:numPr>
          <w:ilvl w:val="0"/>
          <w:numId w:val="0"/>
        </w:numPr>
      </w:pPr>
    </w:p>
    <w:p w14:paraId="131BD7D8" w14:textId="4634DAA5" w:rsidR="00C961DE" w:rsidRPr="00C961DE" w:rsidRDefault="00C961DE" w:rsidP="001538D3">
      <w:pPr>
        <w:pStyle w:val="ArialText"/>
      </w:pPr>
      <w:r w:rsidRPr="00C961DE">
        <w:t>Therefore, IAB related capabilities should not be applicable for RedCap UEs (also from RAN1 perspective).</w:t>
      </w:r>
      <w:r>
        <w:t xml:space="preserve"> </w:t>
      </w:r>
      <w:r w:rsidRPr="00C961DE">
        <w:t xml:space="preserve">For V2X/PC5 support in band n47, operation in unlicensed bands, and SUL support, it has been agreed by RAN plenary during RAN#93-e that the specifications will not contain any explicit restriction to prevent implementation of RedCap UEs with these features (see below </w:t>
      </w:r>
      <w:r w:rsidRPr="00C961DE">
        <w:fldChar w:fldCharType="begin"/>
      </w:r>
      <w:r w:rsidRPr="00C961DE">
        <w:instrText xml:space="preserve"> REF _Ref83123728 \r \h </w:instrText>
      </w:r>
      <w:r>
        <w:instrText xml:space="preserve"> \* MERGEFORMAT </w:instrText>
      </w:r>
      <w:r w:rsidRPr="00C961DE">
        <w:fldChar w:fldCharType="separate"/>
      </w:r>
      <w:r w:rsidRPr="00C961DE">
        <w:t>[6]</w:t>
      </w:r>
      <w:r w:rsidRPr="00C961DE">
        <w:fldChar w:fldCharType="end"/>
      </w:r>
      <w:r w:rsidRPr="00C961DE">
        <w:t>), although there will be no work in Rel-17 on any RedCap specific specification update to support them. In our view, a similar principle may also be used for support of features, such as SL</w:t>
      </w:r>
      <w:r w:rsidR="00B72A1A">
        <w:t xml:space="preserve"> and URLLC</w:t>
      </w:r>
      <w:r w:rsidRPr="00C961DE">
        <w:t xml:space="preserve">, i.e., specifications will neither explicitly restrict such implementations </w:t>
      </w:r>
      <w:r w:rsidR="00B72A1A">
        <w:t>(</w:t>
      </w:r>
      <w:r w:rsidR="00B72A1A" w:rsidRPr="00B72A1A">
        <w:t>except those affected by CA/DC</w:t>
      </w:r>
      <w:r w:rsidR="00B72A1A">
        <w:t xml:space="preserve">) </w:t>
      </w:r>
      <w:r w:rsidRPr="00C961DE">
        <w:t xml:space="preserve">nor be updated to support them.  </w:t>
      </w:r>
    </w:p>
    <w:tbl>
      <w:tblPr>
        <w:tblStyle w:val="TableGrid"/>
        <w:tblW w:w="0" w:type="auto"/>
        <w:tblLook w:val="04A0" w:firstRow="1" w:lastRow="0" w:firstColumn="1" w:lastColumn="0" w:noHBand="0" w:noVBand="1"/>
      </w:tblPr>
      <w:tblGrid>
        <w:gridCol w:w="9629"/>
      </w:tblGrid>
      <w:tr w:rsidR="00C961DE" w14:paraId="544363ED" w14:textId="77777777" w:rsidTr="0034597E">
        <w:tc>
          <w:tcPr>
            <w:tcW w:w="9629" w:type="dxa"/>
          </w:tcPr>
          <w:p w14:paraId="2E3441A0" w14:textId="77777777" w:rsidR="00C961DE" w:rsidRPr="00216705" w:rsidRDefault="00C961DE" w:rsidP="0034597E">
            <w:pPr>
              <w:pStyle w:val="ListParagraph"/>
              <w:numPr>
                <w:ilvl w:val="0"/>
                <w:numId w:val="25"/>
              </w:numPr>
              <w:rPr>
                <w:rFonts w:ascii="Arial" w:hAnsi="Arial" w:cs="Arial"/>
                <w:sz w:val="20"/>
                <w:szCs w:val="20"/>
              </w:rPr>
            </w:pPr>
            <w:r w:rsidRPr="00216705">
              <w:rPr>
                <w:rFonts w:ascii="Arial" w:hAnsi="Arial" w:cs="Arial"/>
                <w:sz w:val="20"/>
                <w:szCs w:val="20"/>
              </w:rPr>
              <w:t>In Rel-17, there will be no work on any RedCap specific specification update for any of the following:</w:t>
            </w:r>
          </w:p>
          <w:p w14:paraId="25C66DE5" w14:textId="77777777" w:rsidR="00C961DE" w:rsidRPr="00216705" w:rsidRDefault="00C961DE" w:rsidP="0034597E">
            <w:pPr>
              <w:pStyle w:val="ListParagraph"/>
              <w:numPr>
                <w:ilvl w:val="0"/>
                <w:numId w:val="26"/>
              </w:numPr>
              <w:rPr>
                <w:rFonts w:ascii="Arial" w:hAnsi="Arial" w:cs="Arial"/>
                <w:sz w:val="20"/>
                <w:szCs w:val="20"/>
              </w:rPr>
            </w:pPr>
            <w:r w:rsidRPr="00216705">
              <w:rPr>
                <w:rFonts w:ascii="Arial" w:hAnsi="Arial" w:cs="Arial"/>
                <w:sz w:val="20"/>
                <w:szCs w:val="20"/>
              </w:rPr>
              <w:t>RedCap UEs also supporting V2X/PC5 on n47</w:t>
            </w:r>
          </w:p>
          <w:p w14:paraId="4872AAB4" w14:textId="77777777" w:rsidR="00C961DE" w:rsidRPr="00216705" w:rsidRDefault="00C961DE" w:rsidP="0034597E">
            <w:pPr>
              <w:pStyle w:val="ListParagraph"/>
              <w:numPr>
                <w:ilvl w:val="0"/>
                <w:numId w:val="26"/>
              </w:numPr>
              <w:rPr>
                <w:rFonts w:ascii="Arial" w:hAnsi="Arial" w:cs="Arial"/>
                <w:sz w:val="20"/>
                <w:szCs w:val="20"/>
              </w:rPr>
            </w:pPr>
            <w:r w:rsidRPr="00216705">
              <w:rPr>
                <w:rFonts w:ascii="Arial" w:hAnsi="Arial" w:cs="Arial"/>
                <w:sz w:val="20"/>
                <w:szCs w:val="20"/>
              </w:rPr>
              <w:t>RedCap UEs operating in unlicensed bands</w:t>
            </w:r>
          </w:p>
          <w:p w14:paraId="720BA44A" w14:textId="77777777" w:rsidR="00C961DE" w:rsidRPr="00216705" w:rsidRDefault="00C961DE" w:rsidP="0034597E">
            <w:pPr>
              <w:pStyle w:val="ListParagraph"/>
              <w:numPr>
                <w:ilvl w:val="0"/>
                <w:numId w:val="26"/>
              </w:numPr>
              <w:rPr>
                <w:rFonts w:ascii="Arial" w:hAnsi="Arial" w:cs="Arial"/>
                <w:sz w:val="20"/>
                <w:szCs w:val="20"/>
                <w:lang w:val="en-US"/>
              </w:rPr>
            </w:pPr>
            <w:r w:rsidRPr="00216705">
              <w:rPr>
                <w:rFonts w:ascii="Arial" w:hAnsi="Arial" w:cs="Arial"/>
                <w:sz w:val="20"/>
                <w:szCs w:val="20"/>
              </w:rPr>
              <w:t xml:space="preserve">RedCap UEs supporting SUL </w:t>
            </w:r>
          </w:p>
          <w:p w14:paraId="43AA901C" w14:textId="77777777" w:rsidR="00C961DE" w:rsidRPr="00216705" w:rsidRDefault="00C961DE" w:rsidP="0034597E">
            <w:pPr>
              <w:pStyle w:val="ListParagraph"/>
              <w:numPr>
                <w:ilvl w:val="0"/>
                <w:numId w:val="25"/>
              </w:numPr>
              <w:rPr>
                <w:rFonts w:ascii="Arial" w:hAnsi="Arial" w:cs="Arial"/>
                <w:sz w:val="20"/>
                <w:szCs w:val="20"/>
              </w:rPr>
            </w:pPr>
            <w:r w:rsidRPr="00216705">
              <w:rPr>
                <w:rFonts w:ascii="Arial" w:hAnsi="Arial" w:cs="Arial"/>
                <w:sz w:val="20"/>
                <w:szCs w:val="20"/>
              </w:rPr>
              <w:t>The specification will not contain any explicit restriction to prevent implementation of RedCap UEs with these features.</w:t>
            </w:r>
          </w:p>
          <w:p w14:paraId="01676B4D" w14:textId="77777777" w:rsidR="00C961DE" w:rsidRPr="00216705" w:rsidRDefault="00C961DE" w:rsidP="0034597E">
            <w:pPr>
              <w:pStyle w:val="ListParagraph"/>
              <w:numPr>
                <w:ilvl w:val="0"/>
                <w:numId w:val="25"/>
              </w:numPr>
              <w:rPr>
                <w:rFonts w:ascii="Arial" w:hAnsi="Arial" w:cs="Arial"/>
                <w:sz w:val="20"/>
                <w:szCs w:val="20"/>
              </w:rPr>
            </w:pPr>
            <w:r w:rsidRPr="00216705">
              <w:rPr>
                <w:rFonts w:ascii="Arial" w:hAnsi="Arial" w:cs="Arial"/>
                <w:sz w:val="20"/>
                <w:szCs w:val="20"/>
              </w:rPr>
              <w:t>Note: The consequence of this agreement would be:</w:t>
            </w:r>
          </w:p>
          <w:p w14:paraId="778C1660" w14:textId="77777777" w:rsidR="00C961DE" w:rsidRPr="00216705" w:rsidRDefault="00C961DE" w:rsidP="0034597E">
            <w:pPr>
              <w:pStyle w:val="ListParagraph"/>
              <w:numPr>
                <w:ilvl w:val="0"/>
                <w:numId w:val="27"/>
              </w:numPr>
              <w:rPr>
                <w:rFonts w:ascii="Arial" w:hAnsi="Arial" w:cs="Arial"/>
                <w:sz w:val="20"/>
                <w:szCs w:val="20"/>
              </w:rPr>
            </w:pPr>
            <w:r w:rsidRPr="00216705">
              <w:rPr>
                <w:rFonts w:ascii="Arial" w:hAnsi="Arial" w:cs="Arial"/>
                <w:sz w:val="20"/>
                <w:szCs w:val="20"/>
              </w:rPr>
              <w:t>If any spec change/addition is found necessary in order to enable one of the options above then it will not happen in Rel-17.</w:t>
            </w:r>
          </w:p>
        </w:tc>
      </w:tr>
    </w:tbl>
    <w:p w14:paraId="2E1FDA14" w14:textId="7DB9203E" w:rsidR="00C961DE" w:rsidRDefault="00C961DE" w:rsidP="00E86719">
      <w:pPr>
        <w:pStyle w:val="Observation"/>
        <w:numPr>
          <w:ilvl w:val="0"/>
          <w:numId w:val="0"/>
        </w:numPr>
      </w:pPr>
    </w:p>
    <w:p w14:paraId="55CAA36A" w14:textId="1035CE50" w:rsidR="00380E1D" w:rsidRDefault="00380E1D" w:rsidP="00C77C33">
      <w:pPr>
        <w:pStyle w:val="Observation"/>
      </w:pPr>
      <w:bookmarkStart w:id="29" w:name="_Toc84024299"/>
      <w:r>
        <w:t xml:space="preserve">It has been agreed in RAN2 that </w:t>
      </w:r>
      <w:r w:rsidRPr="00B33AD3">
        <w:t>IAB related capabilities are not applicable for RedCap UE</w:t>
      </w:r>
      <w:r>
        <w:t>s f</w:t>
      </w:r>
      <w:r w:rsidRPr="00B33AD3">
        <w:t>rom RAN2 perspective</w:t>
      </w:r>
      <w:r>
        <w:t>.</w:t>
      </w:r>
      <w:bookmarkEnd w:id="29"/>
    </w:p>
    <w:p w14:paraId="6B19CE0B" w14:textId="31D8AAB6" w:rsidR="00796F5E" w:rsidRDefault="00061DBD" w:rsidP="00796F5E">
      <w:pPr>
        <w:pStyle w:val="Observation"/>
      </w:pPr>
      <w:bookmarkStart w:id="30" w:name="_Toc84024300"/>
      <w:r>
        <w:t xml:space="preserve">For </w:t>
      </w:r>
      <w:r w:rsidRPr="000D7CA3">
        <w:t xml:space="preserve">V2X/PC5 support in band n47, operation in unlicensed bands, </w:t>
      </w:r>
      <w:r>
        <w:t>and</w:t>
      </w:r>
      <w:r w:rsidRPr="000D7CA3">
        <w:t xml:space="preserve"> SUL support,</w:t>
      </w:r>
      <w:r>
        <w:t xml:space="preserve"> t</w:t>
      </w:r>
      <w:r w:rsidRPr="00061DBD">
        <w:t>he specification will not contain any explicit restriction to prevent implementation of RedCap UEs with these features.</w:t>
      </w:r>
      <w:r>
        <w:t xml:space="preserve"> However, </w:t>
      </w:r>
      <w:r w:rsidRPr="00061DBD">
        <w:t xml:space="preserve">there will be no work </w:t>
      </w:r>
      <w:r>
        <w:t xml:space="preserve">in Rel-17 </w:t>
      </w:r>
      <w:r w:rsidRPr="00061DBD">
        <w:t>on any RedCap specific specification update</w:t>
      </w:r>
      <w:r>
        <w:t xml:space="preserve"> to support these features.</w:t>
      </w:r>
      <w:bookmarkEnd w:id="30"/>
      <w:r>
        <w:t xml:space="preserve"> </w:t>
      </w:r>
    </w:p>
    <w:p w14:paraId="5E2382E5" w14:textId="491A915A" w:rsidR="00C470C0" w:rsidRDefault="00C470C0" w:rsidP="00CD0B52">
      <w:pPr>
        <w:pStyle w:val="Observation"/>
      </w:pPr>
      <w:bookmarkStart w:id="31" w:name="_Toc84024301"/>
      <w:r>
        <w:t xml:space="preserve">For the support of </w:t>
      </w:r>
      <w:proofErr w:type="spellStart"/>
      <w:r>
        <w:t>sidelink</w:t>
      </w:r>
      <w:proofErr w:type="spellEnd"/>
      <w:r>
        <w:t xml:space="preserve"> and URLLC related capabilities in Rel-17, the same approach as for </w:t>
      </w:r>
      <w:r w:rsidRPr="000D7CA3">
        <w:t xml:space="preserve">V2X/PC5 support in band n47, operation in unlicensed bands, </w:t>
      </w:r>
      <w:r>
        <w:t>and</w:t>
      </w:r>
      <w:r w:rsidRPr="000D7CA3">
        <w:t xml:space="preserve"> SUL support</w:t>
      </w:r>
      <w:r>
        <w:t xml:space="preserve"> can be considered in RAN1. That is:</w:t>
      </w:r>
      <w:bookmarkEnd w:id="31"/>
    </w:p>
    <w:p w14:paraId="1960B5C0" w14:textId="506AD65B" w:rsidR="006C6349" w:rsidRDefault="00C470C0" w:rsidP="006C6349">
      <w:pPr>
        <w:pStyle w:val="Observation"/>
        <w:numPr>
          <w:ilvl w:val="0"/>
          <w:numId w:val="31"/>
        </w:numPr>
      </w:pPr>
      <w:bookmarkStart w:id="32" w:name="_Toc84024302"/>
      <w:r>
        <w:t>T</w:t>
      </w:r>
      <w:r w:rsidR="00796F5E" w:rsidRPr="00796F5E">
        <w:t xml:space="preserve">here will be no work </w:t>
      </w:r>
      <w:r w:rsidR="00B33AD3">
        <w:t xml:space="preserve">in RAN1 </w:t>
      </w:r>
      <w:r>
        <w:t xml:space="preserve">in Rel-17 </w:t>
      </w:r>
      <w:r w:rsidR="00796F5E" w:rsidRPr="00796F5E">
        <w:t xml:space="preserve">on any RedCap specific specification update for </w:t>
      </w:r>
      <w:r>
        <w:t xml:space="preserve">the support of </w:t>
      </w:r>
      <w:proofErr w:type="spellStart"/>
      <w:r>
        <w:t>sidelink</w:t>
      </w:r>
      <w:proofErr w:type="spellEnd"/>
      <w:r>
        <w:t xml:space="preserve"> and URLLC related capabilities.</w:t>
      </w:r>
      <w:bookmarkEnd w:id="32"/>
    </w:p>
    <w:p w14:paraId="4EAD855C" w14:textId="52522C0C" w:rsidR="00C961DE" w:rsidRPr="00924219" w:rsidRDefault="00796F5E" w:rsidP="006C6349">
      <w:pPr>
        <w:pStyle w:val="Observation"/>
        <w:numPr>
          <w:ilvl w:val="1"/>
          <w:numId w:val="31"/>
        </w:numPr>
      </w:pPr>
      <w:bookmarkStart w:id="33" w:name="_Toc84024303"/>
      <w:r>
        <w:t xml:space="preserve">The </w:t>
      </w:r>
      <w:r w:rsidRPr="00796F5E">
        <w:t xml:space="preserve">specification will not contain any explicit </w:t>
      </w:r>
      <w:r w:rsidR="00520851" w:rsidRPr="00796F5E">
        <w:t xml:space="preserve">restriction </w:t>
      </w:r>
      <w:r w:rsidR="00520851">
        <w:t>to</w:t>
      </w:r>
      <w:r w:rsidRPr="00796F5E">
        <w:t xml:space="preserve"> prevent implementation of RedCap UEs with these features</w:t>
      </w:r>
      <w:r w:rsidR="00924219">
        <w:t xml:space="preserve"> (</w:t>
      </w:r>
      <w:r w:rsidR="00924219" w:rsidRPr="00B72A1A">
        <w:t>except those affected by CA/DC</w:t>
      </w:r>
      <w:r w:rsidR="00924219">
        <w:t>)</w:t>
      </w:r>
      <w:r>
        <w:t>.</w:t>
      </w:r>
      <w:bookmarkEnd w:id="33"/>
      <w:r>
        <w:t xml:space="preserve"> </w:t>
      </w:r>
    </w:p>
    <w:p w14:paraId="6D869F9A" w14:textId="77777777" w:rsidR="00B72A1A" w:rsidRDefault="00B72A1A" w:rsidP="00B72A1A">
      <w:pPr>
        <w:pStyle w:val="ListParagraph"/>
        <w:ind w:left="2160"/>
        <w:rPr>
          <w:lang w:eastAsia="ja-JP"/>
        </w:rPr>
      </w:pPr>
    </w:p>
    <w:p w14:paraId="37EB5693" w14:textId="1D529A72" w:rsidR="00C01F33" w:rsidRPr="00BA78F4" w:rsidRDefault="00E95143" w:rsidP="00BA78F4">
      <w:pPr>
        <w:pStyle w:val="Heading1"/>
      </w:pPr>
      <w:r>
        <w:t>5</w:t>
      </w:r>
      <w:r w:rsidR="005B7323" w:rsidRPr="00BA78F4">
        <w:tab/>
      </w:r>
      <w:r w:rsidR="00C01F33" w:rsidRPr="00BA78F4">
        <w:t>Conclusion</w:t>
      </w:r>
    </w:p>
    <w:p w14:paraId="5A650F21" w14:textId="432129B0" w:rsidR="008E065E" w:rsidRDefault="008E065E" w:rsidP="009757A5">
      <w:pPr>
        <w:pStyle w:val="BodyText"/>
        <w:rPr>
          <w:b/>
          <w:bCs/>
        </w:rPr>
      </w:pPr>
      <w:r>
        <w:t xml:space="preserve">In </w:t>
      </w:r>
      <w:r w:rsidR="007729A2">
        <w:t xml:space="preserve">the previous </w:t>
      </w:r>
      <w:r>
        <w:t>section</w:t>
      </w:r>
      <w:r w:rsidR="007729A2">
        <w:t>s</w:t>
      </w:r>
      <w:r w:rsidR="00715F10">
        <w:t>,</w:t>
      </w:r>
      <w:r w:rsidRPr="00CE0424">
        <w:t xml:space="preserve"> we </w:t>
      </w:r>
      <w:r>
        <w:t>made the following observations</w:t>
      </w:r>
      <w:r w:rsidRPr="00CE0424">
        <w:t>:</w:t>
      </w:r>
      <w:r w:rsidR="00C93814">
        <w:rPr>
          <w:b/>
          <w:bCs/>
        </w:rPr>
        <w:t xml:space="preserve"> </w:t>
      </w:r>
    </w:p>
    <w:p w14:paraId="052EBD4A" w14:textId="09E43145" w:rsidR="00E72266" w:rsidRDefault="006F6582" w:rsidP="00E72266">
      <w:pPr>
        <w:pStyle w:val="TableofFigures"/>
        <w:tabs>
          <w:tab w:val="right" w:leader="dot" w:pos="9629"/>
        </w:tabs>
        <w:jc w:val="both"/>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4024288" w:history="1">
        <w:r w:rsidR="00E72266" w:rsidRPr="00730CF5">
          <w:rPr>
            <w:rStyle w:val="Hyperlink"/>
            <w:noProof/>
          </w:rPr>
          <w:t>Observation 1</w:t>
        </w:r>
        <w:r w:rsidR="00E72266">
          <w:rPr>
            <w:rFonts w:asciiTheme="minorHAnsi" w:eastAsiaTheme="minorEastAsia" w:hAnsiTheme="minorHAnsi"/>
            <w:b w:val="0"/>
            <w:noProof/>
            <w:sz w:val="22"/>
            <w:lang w:val="sv-SE" w:eastAsia="sv-SE"/>
          </w:rPr>
          <w:tab/>
        </w:r>
        <w:r w:rsidR="00E72266" w:rsidRPr="00730CF5">
          <w:rPr>
            <w:rStyle w:val="Hyperlink"/>
            <w:noProof/>
          </w:rPr>
          <w:t>From RAN1 point of view, a RedCap UE type:</w:t>
        </w:r>
      </w:hyperlink>
    </w:p>
    <w:p w14:paraId="6D208171" w14:textId="75B74B8B" w:rsidR="00E72266" w:rsidRDefault="00BA198A" w:rsidP="00E72266">
      <w:pPr>
        <w:pStyle w:val="TableofFigures"/>
        <w:numPr>
          <w:ilvl w:val="0"/>
          <w:numId w:val="31"/>
        </w:numPr>
        <w:tabs>
          <w:tab w:val="right" w:leader="dot" w:pos="9629"/>
        </w:tabs>
        <w:jc w:val="both"/>
        <w:rPr>
          <w:rFonts w:asciiTheme="minorHAnsi" w:eastAsiaTheme="minorEastAsia" w:hAnsiTheme="minorHAnsi"/>
          <w:b w:val="0"/>
          <w:noProof/>
          <w:sz w:val="22"/>
          <w:lang w:val="sv-SE" w:eastAsia="sv-SE"/>
        </w:rPr>
      </w:pPr>
      <w:hyperlink w:anchor="_Toc84024289" w:history="1">
        <w:r w:rsidR="00E72266" w:rsidRPr="00730CF5">
          <w:rPr>
            <w:rStyle w:val="Hyperlink"/>
            <w:noProof/>
          </w:rPr>
          <w:t>Supports a maximum UE bandwidth of 20 MHz for FR1 and 100 MHz for FR2</w:t>
        </w:r>
      </w:hyperlink>
    </w:p>
    <w:p w14:paraId="1312C9C9" w14:textId="2D84B773" w:rsidR="00E72266" w:rsidRDefault="00BA198A" w:rsidP="00E72266">
      <w:pPr>
        <w:pStyle w:val="TableofFigures"/>
        <w:numPr>
          <w:ilvl w:val="0"/>
          <w:numId w:val="31"/>
        </w:numPr>
        <w:tabs>
          <w:tab w:val="right" w:leader="dot" w:pos="9629"/>
        </w:tabs>
        <w:jc w:val="both"/>
        <w:rPr>
          <w:rFonts w:asciiTheme="minorHAnsi" w:eastAsiaTheme="minorEastAsia" w:hAnsiTheme="minorHAnsi"/>
          <w:b w:val="0"/>
          <w:noProof/>
          <w:sz w:val="22"/>
          <w:lang w:val="sv-SE" w:eastAsia="sv-SE"/>
        </w:rPr>
      </w:pPr>
      <w:hyperlink w:anchor="_Toc84024290" w:history="1">
        <w:r w:rsidR="00E72266" w:rsidRPr="00730CF5">
          <w:rPr>
            <w:rStyle w:val="Hyperlink"/>
            <w:noProof/>
          </w:rPr>
          <w:t>Supports a minimum of 1 Rx branch and 1 DL MIMO layer</w:t>
        </w:r>
      </w:hyperlink>
    </w:p>
    <w:p w14:paraId="52D3CFB4" w14:textId="06BA4DEB" w:rsidR="00E72266" w:rsidRDefault="00BA198A" w:rsidP="00E72266">
      <w:pPr>
        <w:pStyle w:val="TableofFigures"/>
        <w:numPr>
          <w:ilvl w:val="1"/>
          <w:numId w:val="35"/>
        </w:numPr>
        <w:tabs>
          <w:tab w:val="right" w:leader="dot" w:pos="9629"/>
        </w:tabs>
        <w:jc w:val="both"/>
        <w:rPr>
          <w:rFonts w:asciiTheme="minorHAnsi" w:eastAsiaTheme="minorEastAsia" w:hAnsiTheme="minorHAnsi"/>
          <w:b w:val="0"/>
          <w:noProof/>
          <w:sz w:val="22"/>
          <w:lang w:val="sv-SE" w:eastAsia="sv-SE"/>
        </w:rPr>
      </w:pPr>
      <w:hyperlink w:anchor="_Toc84024291" w:history="1">
        <w:r w:rsidR="00E72266" w:rsidRPr="00730CF5">
          <w:rPr>
            <w:rStyle w:val="Hyperlink"/>
            <w:noProof/>
          </w:rPr>
          <w:t>If the UE supports 2 Rx branches, 2 DL MIMO layers shall be supported.</w:t>
        </w:r>
      </w:hyperlink>
    </w:p>
    <w:p w14:paraId="22D40243" w14:textId="7036EC6F" w:rsidR="00E72266" w:rsidRDefault="00BA198A" w:rsidP="00E72266">
      <w:pPr>
        <w:pStyle w:val="TableofFigures"/>
        <w:numPr>
          <w:ilvl w:val="0"/>
          <w:numId w:val="31"/>
        </w:numPr>
        <w:tabs>
          <w:tab w:val="right" w:leader="dot" w:pos="9629"/>
        </w:tabs>
        <w:jc w:val="both"/>
        <w:rPr>
          <w:rFonts w:asciiTheme="minorHAnsi" w:eastAsiaTheme="minorEastAsia" w:hAnsiTheme="minorHAnsi"/>
          <w:b w:val="0"/>
          <w:noProof/>
          <w:sz w:val="22"/>
          <w:lang w:val="sv-SE" w:eastAsia="sv-SE"/>
        </w:rPr>
      </w:pPr>
      <w:hyperlink w:anchor="_Toc84024292" w:history="1">
        <w:r w:rsidR="00E72266" w:rsidRPr="00730CF5">
          <w:rPr>
            <w:rStyle w:val="Hyperlink"/>
            <w:noProof/>
          </w:rPr>
          <w:t>Supports a maximum modulation order of at least 64QAM in DL for FR1</w:t>
        </w:r>
      </w:hyperlink>
    </w:p>
    <w:p w14:paraId="3A677DF6" w14:textId="4E47FC31" w:rsidR="00E72266" w:rsidRDefault="00BA198A" w:rsidP="00E72266">
      <w:pPr>
        <w:pStyle w:val="TableofFigures"/>
        <w:numPr>
          <w:ilvl w:val="0"/>
          <w:numId w:val="31"/>
        </w:numPr>
        <w:tabs>
          <w:tab w:val="right" w:leader="dot" w:pos="9629"/>
        </w:tabs>
        <w:jc w:val="both"/>
        <w:rPr>
          <w:rFonts w:asciiTheme="minorHAnsi" w:eastAsiaTheme="minorEastAsia" w:hAnsiTheme="minorHAnsi"/>
          <w:b w:val="0"/>
          <w:noProof/>
          <w:sz w:val="22"/>
          <w:lang w:val="sv-SE" w:eastAsia="sv-SE"/>
        </w:rPr>
      </w:pPr>
      <w:hyperlink w:anchor="_Toc84024293" w:history="1">
        <w:r w:rsidR="00E72266" w:rsidRPr="00730CF5">
          <w:rPr>
            <w:rStyle w:val="Hyperlink"/>
            <w:noProof/>
          </w:rPr>
          <w:t>Supports HD-FDD Type A operation as a baseline for FR1 FDD bands</w:t>
        </w:r>
      </w:hyperlink>
    </w:p>
    <w:p w14:paraId="2F5813FF" w14:textId="49AB4A82" w:rsidR="00E72266" w:rsidRDefault="00BA198A" w:rsidP="00E72266">
      <w:pPr>
        <w:pStyle w:val="TableofFigures"/>
        <w:numPr>
          <w:ilvl w:val="0"/>
          <w:numId w:val="31"/>
        </w:numPr>
        <w:tabs>
          <w:tab w:val="right" w:leader="dot" w:pos="9629"/>
        </w:tabs>
        <w:jc w:val="both"/>
        <w:rPr>
          <w:rFonts w:asciiTheme="minorHAnsi" w:eastAsiaTheme="minorEastAsia" w:hAnsiTheme="minorHAnsi"/>
          <w:b w:val="0"/>
          <w:noProof/>
          <w:sz w:val="22"/>
          <w:lang w:val="sv-SE" w:eastAsia="sv-SE"/>
        </w:rPr>
      </w:pPr>
      <w:hyperlink w:anchor="_Toc84024294" w:history="1">
        <w:r w:rsidR="00E72266" w:rsidRPr="00730CF5">
          <w:rPr>
            <w:rStyle w:val="Hyperlink"/>
            <w:noProof/>
          </w:rPr>
          <w:t>Does not support CA/DC</w:t>
        </w:r>
      </w:hyperlink>
    </w:p>
    <w:p w14:paraId="6103D801" w14:textId="0559C444" w:rsidR="00E72266" w:rsidRDefault="00BA198A" w:rsidP="00E72266">
      <w:pPr>
        <w:pStyle w:val="TableofFigures"/>
        <w:tabs>
          <w:tab w:val="right" w:leader="dot" w:pos="9629"/>
        </w:tabs>
        <w:jc w:val="both"/>
        <w:rPr>
          <w:rFonts w:asciiTheme="minorHAnsi" w:eastAsiaTheme="minorEastAsia" w:hAnsiTheme="minorHAnsi"/>
          <w:b w:val="0"/>
          <w:noProof/>
          <w:sz w:val="22"/>
          <w:lang w:val="sv-SE" w:eastAsia="sv-SE"/>
        </w:rPr>
      </w:pPr>
      <w:hyperlink w:anchor="_Toc84024295" w:history="1">
        <w:r w:rsidR="00E72266" w:rsidRPr="00730CF5">
          <w:rPr>
            <w:rStyle w:val="Hyperlink"/>
            <w:rFonts w:cs="Arial"/>
            <w:noProof/>
          </w:rPr>
          <w:t>Observation 2</w:t>
        </w:r>
        <w:r w:rsidR="00E72266">
          <w:rPr>
            <w:rFonts w:asciiTheme="minorHAnsi" w:eastAsiaTheme="minorEastAsia" w:hAnsiTheme="minorHAnsi"/>
            <w:b w:val="0"/>
            <w:noProof/>
            <w:sz w:val="22"/>
            <w:lang w:val="sv-SE" w:eastAsia="sv-SE"/>
          </w:rPr>
          <w:tab/>
        </w:r>
        <w:r w:rsidR="00E72266" w:rsidRPr="00730CF5">
          <w:rPr>
            <w:rStyle w:val="Hyperlink"/>
            <w:noProof/>
            <w:lang w:val="en-GB"/>
          </w:rPr>
          <w:t>If a RedCap UE has additional or advanced capabilities beyond the set of minimum capabilities listed in Observation 1, the UE can use the existing capability signalling framework to convey such information.</w:t>
        </w:r>
      </w:hyperlink>
    </w:p>
    <w:p w14:paraId="6B828B4F" w14:textId="0E5A03A7" w:rsidR="00E72266" w:rsidRDefault="00BA198A" w:rsidP="00E72266">
      <w:pPr>
        <w:pStyle w:val="TableofFigures"/>
        <w:tabs>
          <w:tab w:val="right" w:leader="dot" w:pos="9629"/>
        </w:tabs>
        <w:jc w:val="both"/>
        <w:rPr>
          <w:rFonts w:asciiTheme="minorHAnsi" w:eastAsiaTheme="minorEastAsia" w:hAnsiTheme="minorHAnsi"/>
          <w:b w:val="0"/>
          <w:noProof/>
          <w:sz w:val="22"/>
          <w:lang w:val="sv-SE" w:eastAsia="sv-SE"/>
        </w:rPr>
      </w:pPr>
      <w:hyperlink w:anchor="_Toc84024296" w:history="1">
        <w:r w:rsidR="00E72266" w:rsidRPr="00730CF5">
          <w:rPr>
            <w:rStyle w:val="Hyperlink"/>
            <w:noProof/>
          </w:rPr>
          <w:t>Observation 3</w:t>
        </w:r>
        <w:r w:rsidR="00E72266">
          <w:rPr>
            <w:rFonts w:asciiTheme="minorHAnsi" w:eastAsiaTheme="minorEastAsia" w:hAnsiTheme="minorHAnsi"/>
            <w:b w:val="0"/>
            <w:noProof/>
            <w:sz w:val="22"/>
            <w:lang w:val="sv-SE" w:eastAsia="sv-SE"/>
          </w:rPr>
          <w:tab/>
        </w:r>
        <w:r w:rsidR="00E72266" w:rsidRPr="00730CF5">
          <w:rPr>
            <w:rStyle w:val="Hyperlink"/>
            <w:noProof/>
          </w:rPr>
          <w:t>We see no reason for RAN1 to come back to the discussion on constraining the use the reduced capabilities.</w:t>
        </w:r>
      </w:hyperlink>
    </w:p>
    <w:p w14:paraId="0A273397" w14:textId="07B0A555" w:rsidR="00E72266" w:rsidRDefault="00BA198A" w:rsidP="00E72266">
      <w:pPr>
        <w:pStyle w:val="TableofFigures"/>
        <w:tabs>
          <w:tab w:val="right" w:leader="dot" w:pos="9629"/>
        </w:tabs>
        <w:jc w:val="both"/>
        <w:rPr>
          <w:rFonts w:asciiTheme="minorHAnsi" w:eastAsiaTheme="minorEastAsia" w:hAnsiTheme="minorHAnsi"/>
          <w:b w:val="0"/>
          <w:noProof/>
          <w:sz w:val="22"/>
          <w:lang w:val="sv-SE" w:eastAsia="sv-SE"/>
        </w:rPr>
      </w:pPr>
      <w:hyperlink w:anchor="_Toc84024297" w:history="1">
        <w:r w:rsidR="00E72266" w:rsidRPr="00730CF5">
          <w:rPr>
            <w:rStyle w:val="Hyperlink"/>
            <w:noProof/>
          </w:rPr>
          <w:t>Observation 4</w:t>
        </w:r>
        <w:r w:rsidR="00E72266">
          <w:rPr>
            <w:rFonts w:asciiTheme="minorHAnsi" w:eastAsiaTheme="minorEastAsia" w:hAnsiTheme="minorHAnsi"/>
            <w:b w:val="0"/>
            <w:noProof/>
            <w:sz w:val="22"/>
            <w:lang w:val="sv-SE" w:eastAsia="sv-SE"/>
          </w:rPr>
          <w:tab/>
        </w:r>
        <w:r w:rsidR="00E72266" w:rsidRPr="00730CF5">
          <w:rPr>
            <w:rStyle w:val="Hyperlink"/>
            <w:noProof/>
            <w:lang w:val="en-GB"/>
          </w:rPr>
          <w:t xml:space="preserve">The early indication of RedCap UEs in Msg1 for 4-step RACH should not be discussed </w:t>
        </w:r>
        <w:r w:rsidR="00E72266" w:rsidRPr="00730CF5">
          <w:rPr>
            <w:rStyle w:val="Hyperlink"/>
            <w:noProof/>
          </w:rPr>
          <w:t>further in RAN1 in the Rel-17 RedCap WI, unless triggered by RAN2.</w:t>
        </w:r>
      </w:hyperlink>
    </w:p>
    <w:p w14:paraId="1CF2CBE6" w14:textId="488ED0D3" w:rsidR="00E72266" w:rsidRDefault="00BA198A" w:rsidP="00E72266">
      <w:pPr>
        <w:pStyle w:val="TableofFigures"/>
        <w:tabs>
          <w:tab w:val="right" w:leader="dot" w:pos="9629"/>
        </w:tabs>
        <w:jc w:val="both"/>
        <w:rPr>
          <w:rFonts w:asciiTheme="minorHAnsi" w:eastAsiaTheme="minorEastAsia" w:hAnsiTheme="minorHAnsi"/>
          <w:b w:val="0"/>
          <w:noProof/>
          <w:sz w:val="22"/>
          <w:lang w:val="sv-SE" w:eastAsia="sv-SE"/>
        </w:rPr>
      </w:pPr>
      <w:hyperlink w:anchor="_Toc84024298" w:history="1">
        <w:r w:rsidR="00E72266" w:rsidRPr="00730CF5">
          <w:rPr>
            <w:rStyle w:val="Hyperlink"/>
            <w:noProof/>
          </w:rPr>
          <w:t>Observation 5</w:t>
        </w:r>
        <w:r w:rsidR="00E72266">
          <w:rPr>
            <w:rFonts w:asciiTheme="minorHAnsi" w:eastAsiaTheme="minorEastAsia" w:hAnsiTheme="minorHAnsi"/>
            <w:b w:val="0"/>
            <w:noProof/>
            <w:sz w:val="22"/>
            <w:lang w:val="sv-SE" w:eastAsia="sv-SE"/>
          </w:rPr>
          <w:tab/>
        </w:r>
        <w:r w:rsidR="00E72266" w:rsidRPr="00730CF5">
          <w:rPr>
            <w:rStyle w:val="Hyperlink"/>
            <w:noProof/>
          </w:rPr>
          <w:t>RAN2 has agreed to support the early indication of RedCap UEs in Msg3 based on dedicated (RedCap-specific) LCID.</w:t>
        </w:r>
      </w:hyperlink>
    </w:p>
    <w:p w14:paraId="2984F832" w14:textId="2D246BCC" w:rsidR="00E72266" w:rsidRDefault="00BA198A" w:rsidP="00E72266">
      <w:pPr>
        <w:pStyle w:val="TableofFigures"/>
        <w:tabs>
          <w:tab w:val="right" w:leader="dot" w:pos="9629"/>
        </w:tabs>
        <w:jc w:val="both"/>
        <w:rPr>
          <w:rFonts w:asciiTheme="minorHAnsi" w:eastAsiaTheme="minorEastAsia" w:hAnsiTheme="minorHAnsi"/>
          <w:b w:val="0"/>
          <w:noProof/>
          <w:sz w:val="22"/>
          <w:lang w:val="sv-SE" w:eastAsia="sv-SE"/>
        </w:rPr>
      </w:pPr>
      <w:hyperlink w:anchor="_Toc84024299" w:history="1">
        <w:r w:rsidR="00E72266" w:rsidRPr="00730CF5">
          <w:rPr>
            <w:rStyle w:val="Hyperlink"/>
            <w:noProof/>
          </w:rPr>
          <w:t>Observation 6</w:t>
        </w:r>
        <w:r w:rsidR="00E72266">
          <w:rPr>
            <w:rFonts w:asciiTheme="minorHAnsi" w:eastAsiaTheme="minorEastAsia" w:hAnsiTheme="minorHAnsi"/>
            <w:b w:val="0"/>
            <w:noProof/>
            <w:sz w:val="22"/>
            <w:lang w:val="sv-SE" w:eastAsia="sv-SE"/>
          </w:rPr>
          <w:tab/>
        </w:r>
        <w:r w:rsidR="00E72266" w:rsidRPr="00730CF5">
          <w:rPr>
            <w:rStyle w:val="Hyperlink"/>
            <w:noProof/>
          </w:rPr>
          <w:t>It has been agreed in RAN2 that IAB related capabilities are not applicable for RedCap UEs from RAN2 perspective.</w:t>
        </w:r>
      </w:hyperlink>
    </w:p>
    <w:p w14:paraId="6D324E22" w14:textId="1561BE99" w:rsidR="00E72266" w:rsidRDefault="00BA198A" w:rsidP="00E72266">
      <w:pPr>
        <w:pStyle w:val="TableofFigures"/>
        <w:tabs>
          <w:tab w:val="right" w:leader="dot" w:pos="9629"/>
        </w:tabs>
        <w:jc w:val="both"/>
        <w:rPr>
          <w:rFonts w:asciiTheme="minorHAnsi" w:eastAsiaTheme="minorEastAsia" w:hAnsiTheme="minorHAnsi"/>
          <w:b w:val="0"/>
          <w:noProof/>
          <w:sz w:val="22"/>
          <w:lang w:val="sv-SE" w:eastAsia="sv-SE"/>
        </w:rPr>
      </w:pPr>
      <w:hyperlink w:anchor="_Toc84024300" w:history="1">
        <w:r w:rsidR="00E72266" w:rsidRPr="00730CF5">
          <w:rPr>
            <w:rStyle w:val="Hyperlink"/>
            <w:noProof/>
          </w:rPr>
          <w:t>Observation 7</w:t>
        </w:r>
        <w:r w:rsidR="00E72266">
          <w:rPr>
            <w:rFonts w:asciiTheme="minorHAnsi" w:eastAsiaTheme="minorEastAsia" w:hAnsiTheme="minorHAnsi"/>
            <w:b w:val="0"/>
            <w:noProof/>
            <w:sz w:val="22"/>
            <w:lang w:val="sv-SE" w:eastAsia="sv-SE"/>
          </w:rPr>
          <w:tab/>
        </w:r>
        <w:r w:rsidR="00E72266" w:rsidRPr="00730CF5">
          <w:rPr>
            <w:rStyle w:val="Hyperlink"/>
            <w:noProof/>
          </w:rPr>
          <w:t>For V2X/PC5 support in band n47, operation in unlicensed bands, and SUL support, the specification will not contain any explicit restriction to prevent implementation of RedCap UEs with these features. However, there will be no work in Rel-17 on any RedCap specific specification update to support these features.</w:t>
        </w:r>
      </w:hyperlink>
    </w:p>
    <w:p w14:paraId="3DEC627E" w14:textId="78EFF954" w:rsidR="00E72266" w:rsidRDefault="00BA198A" w:rsidP="00E72266">
      <w:pPr>
        <w:pStyle w:val="TableofFigures"/>
        <w:tabs>
          <w:tab w:val="right" w:leader="dot" w:pos="9629"/>
        </w:tabs>
        <w:jc w:val="both"/>
        <w:rPr>
          <w:rFonts w:asciiTheme="minorHAnsi" w:eastAsiaTheme="minorEastAsia" w:hAnsiTheme="minorHAnsi"/>
          <w:b w:val="0"/>
          <w:noProof/>
          <w:sz w:val="22"/>
          <w:lang w:val="sv-SE" w:eastAsia="sv-SE"/>
        </w:rPr>
      </w:pPr>
      <w:hyperlink w:anchor="_Toc84024301" w:history="1">
        <w:r w:rsidR="00E72266" w:rsidRPr="00730CF5">
          <w:rPr>
            <w:rStyle w:val="Hyperlink"/>
            <w:noProof/>
          </w:rPr>
          <w:t>Observation 8</w:t>
        </w:r>
        <w:r w:rsidR="00E72266">
          <w:rPr>
            <w:rFonts w:asciiTheme="minorHAnsi" w:eastAsiaTheme="minorEastAsia" w:hAnsiTheme="minorHAnsi"/>
            <w:b w:val="0"/>
            <w:noProof/>
            <w:sz w:val="22"/>
            <w:lang w:val="sv-SE" w:eastAsia="sv-SE"/>
          </w:rPr>
          <w:tab/>
        </w:r>
        <w:r w:rsidR="00E72266" w:rsidRPr="00730CF5">
          <w:rPr>
            <w:rStyle w:val="Hyperlink"/>
            <w:noProof/>
          </w:rPr>
          <w:t>For the support of sidelink and URLLC related capabilities in Rel-17, the same approach as for V2X/PC5 support in band n47, operation in unlicensed bands, and SUL support can be considered in RAN1. That is:</w:t>
        </w:r>
      </w:hyperlink>
    </w:p>
    <w:p w14:paraId="308B443B" w14:textId="1A7FF0BE" w:rsidR="00E72266" w:rsidRDefault="00BA198A" w:rsidP="00E72266">
      <w:pPr>
        <w:pStyle w:val="TableofFigures"/>
        <w:numPr>
          <w:ilvl w:val="0"/>
          <w:numId w:val="31"/>
        </w:numPr>
        <w:tabs>
          <w:tab w:val="right" w:leader="dot" w:pos="9629"/>
        </w:tabs>
        <w:jc w:val="both"/>
        <w:rPr>
          <w:rFonts w:asciiTheme="minorHAnsi" w:eastAsiaTheme="minorEastAsia" w:hAnsiTheme="minorHAnsi"/>
          <w:b w:val="0"/>
          <w:noProof/>
          <w:sz w:val="22"/>
          <w:lang w:val="sv-SE" w:eastAsia="sv-SE"/>
        </w:rPr>
      </w:pPr>
      <w:hyperlink w:anchor="_Toc84024302" w:history="1">
        <w:r w:rsidR="00E72266" w:rsidRPr="00730CF5">
          <w:rPr>
            <w:rStyle w:val="Hyperlink"/>
            <w:noProof/>
          </w:rPr>
          <w:t>There will be no work in RAN1 in Rel-17 on any RedCap specific specification update for the support of sidelink and URLLC related capabilities.</w:t>
        </w:r>
      </w:hyperlink>
    </w:p>
    <w:p w14:paraId="69C557B5" w14:textId="5CA31B79" w:rsidR="00E72266" w:rsidRDefault="00BA198A" w:rsidP="00D8040E">
      <w:pPr>
        <w:pStyle w:val="TableofFigures"/>
        <w:numPr>
          <w:ilvl w:val="1"/>
          <w:numId w:val="31"/>
        </w:numPr>
        <w:tabs>
          <w:tab w:val="right" w:leader="dot" w:pos="9629"/>
        </w:tabs>
        <w:jc w:val="both"/>
        <w:rPr>
          <w:rFonts w:asciiTheme="minorHAnsi" w:eastAsiaTheme="minorEastAsia" w:hAnsiTheme="minorHAnsi"/>
          <w:b w:val="0"/>
          <w:noProof/>
          <w:sz w:val="22"/>
          <w:lang w:val="sv-SE" w:eastAsia="sv-SE"/>
        </w:rPr>
      </w:pPr>
      <w:hyperlink w:anchor="_Toc84024303" w:history="1">
        <w:r w:rsidR="00E72266" w:rsidRPr="00730CF5">
          <w:rPr>
            <w:rStyle w:val="Hyperlink"/>
            <w:noProof/>
          </w:rPr>
          <w:t>The specification will not contain any explicit restriction to prevent implementation of RedCap UEs with these features (except those affected by CA/DC).</w:t>
        </w:r>
      </w:hyperlink>
    </w:p>
    <w:p w14:paraId="7D91EC5D" w14:textId="52C2B782" w:rsidR="006E1C82" w:rsidRDefault="006F6582" w:rsidP="009757A5">
      <w:pPr>
        <w:pStyle w:val="BodyText"/>
        <w:rPr>
          <w:b/>
          <w:bCs/>
        </w:rPr>
      </w:pPr>
      <w:r>
        <w:rPr>
          <w:b/>
          <w:bCs/>
        </w:rPr>
        <w:fldChar w:fldCharType="end"/>
      </w:r>
    </w:p>
    <w:p w14:paraId="6225A1B8" w14:textId="11569F12" w:rsidR="006E1C82" w:rsidRDefault="008E065E" w:rsidP="00CF5FC8">
      <w:pPr>
        <w:pStyle w:val="BodyText"/>
      </w:pPr>
      <w:r w:rsidRPr="00CE0424">
        <w:t xml:space="preserve">Based on the discussion in </w:t>
      </w:r>
      <w:r w:rsidR="007729A2">
        <w:t xml:space="preserve">the previous </w:t>
      </w:r>
      <w:r w:rsidRPr="00CE0424">
        <w:t>section</w:t>
      </w:r>
      <w:r w:rsidR="007729A2">
        <w:t>s</w:t>
      </w:r>
      <w:r w:rsidR="00715F10">
        <w:t>,</w:t>
      </w:r>
      <w:r w:rsidRPr="00CE0424">
        <w:t xml:space="preserve"> we propose the following:</w:t>
      </w:r>
    </w:p>
    <w:p w14:paraId="76B23E07" w14:textId="1E7A33E5" w:rsidR="00E72266" w:rsidRDefault="006E1C82" w:rsidP="00715F10">
      <w:pPr>
        <w:pStyle w:val="TableofFigures"/>
        <w:tabs>
          <w:tab w:val="right" w:leader="dot" w:pos="9629"/>
        </w:tabs>
        <w:jc w:val="both"/>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84024427" w:history="1">
        <w:r w:rsidR="00E72266" w:rsidRPr="00135A29">
          <w:rPr>
            <w:rStyle w:val="Hyperlink"/>
            <w:noProof/>
          </w:rPr>
          <w:t>Proposal 1</w:t>
        </w:r>
        <w:r w:rsidR="00E72266">
          <w:rPr>
            <w:rFonts w:asciiTheme="minorHAnsi" w:eastAsiaTheme="minorEastAsia" w:hAnsiTheme="minorHAnsi"/>
            <w:b w:val="0"/>
            <w:noProof/>
            <w:sz w:val="22"/>
            <w:lang w:val="sv-SE" w:eastAsia="sv-SE"/>
          </w:rPr>
          <w:tab/>
        </w:r>
        <w:r w:rsidR="00E72266" w:rsidRPr="00135A29">
          <w:rPr>
            <w:rStyle w:val="Hyperlink"/>
            <w:noProof/>
          </w:rPr>
          <w:t>For 2-step RACH, support the early indication of RedCap UEs in MsgA preamble and MsgA PUSCH:</w:t>
        </w:r>
      </w:hyperlink>
    </w:p>
    <w:p w14:paraId="2F02906D" w14:textId="3D0E9671" w:rsidR="00E72266" w:rsidRDefault="00BA198A" w:rsidP="00715F10">
      <w:pPr>
        <w:pStyle w:val="TableofFigures"/>
        <w:numPr>
          <w:ilvl w:val="0"/>
          <w:numId w:val="31"/>
        </w:numPr>
        <w:tabs>
          <w:tab w:val="right" w:leader="dot" w:pos="9629"/>
        </w:tabs>
        <w:jc w:val="both"/>
        <w:rPr>
          <w:rFonts w:asciiTheme="minorHAnsi" w:eastAsiaTheme="minorEastAsia" w:hAnsiTheme="minorHAnsi"/>
          <w:b w:val="0"/>
          <w:noProof/>
          <w:sz w:val="22"/>
          <w:lang w:val="sv-SE" w:eastAsia="sv-SE"/>
        </w:rPr>
      </w:pPr>
      <w:hyperlink w:anchor="_Toc84024428" w:history="1">
        <w:r w:rsidR="00E72266" w:rsidRPr="00135A29">
          <w:rPr>
            <w:rStyle w:val="Hyperlink"/>
            <w:rFonts w:cs="Arial"/>
            <w:noProof/>
          </w:rPr>
          <w:t>The early indication in MsgA preamble can be configured to be enabled/disabled via SIB</w:t>
        </w:r>
      </w:hyperlink>
    </w:p>
    <w:p w14:paraId="106B5F12" w14:textId="3DAEF81A" w:rsidR="00E72266" w:rsidRDefault="00BA198A" w:rsidP="00715F10">
      <w:pPr>
        <w:pStyle w:val="TableofFigures"/>
        <w:numPr>
          <w:ilvl w:val="0"/>
          <w:numId w:val="31"/>
        </w:numPr>
        <w:tabs>
          <w:tab w:val="right" w:leader="dot" w:pos="9629"/>
        </w:tabs>
        <w:jc w:val="both"/>
        <w:rPr>
          <w:rFonts w:asciiTheme="minorHAnsi" w:eastAsiaTheme="minorEastAsia" w:hAnsiTheme="minorHAnsi"/>
          <w:b w:val="0"/>
          <w:noProof/>
          <w:sz w:val="22"/>
          <w:lang w:val="sv-SE" w:eastAsia="sv-SE"/>
        </w:rPr>
      </w:pPr>
      <w:hyperlink w:anchor="_Toc84024429" w:history="1">
        <w:r w:rsidR="00E72266" w:rsidRPr="00135A29">
          <w:rPr>
            <w:rStyle w:val="Hyperlink"/>
            <w:rFonts w:cs="Arial"/>
            <w:noProof/>
          </w:rPr>
          <w:t>From RAN1 perspective, the following methods can be used for early indication both for shared initial UL BWP and separate initial UL BWP (if supported)</w:t>
        </w:r>
      </w:hyperlink>
    </w:p>
    <w:p w14:paraId="022AF53B" w14:textId="0AB9331C" w:rsidR="00E72266" w:rsidRDefault="00BA198A" w:rsidP="00715F10">
      <w:pPr>
        <w:pStyle w:val="TableofFigures"/>
        <w:numPr>
          <w:ilvl w:val="1"/>
          <w:numId w:val="36"/>
        </w:numPr>
        <w:tabs>
          <w:tab w:val="right" w:leader="dot" w:pos="9629"/>
        </w:tabs>
        <w:jc w:val="both"/>
        <w:rPr>
          <w:rFonts w:asciiTheme="minorHAnsi" w:eastAsiaTheme="minorEastAsia" w:hAnsiTheme="minorHAnsi"/>
          <w:b w:val="0"/>
          <w:noProof/>
          <w:sz w:val="22"/>
          <w:lang w:val="sv-SE" w:eastAsia="sv-SE"/>
        </w:rPr>
      </w:pPr>
      <w:hyperlink w:anchor="_Toc84024430" w:history="1">
        <w:r w:rsidR="00E72266" w:rsidRPr="00135A29">
          <w:rPr>
            <w:rStyle w:val="Hyperlink"/>
            <w:rFonts w:cs="Arial"/>
            <w:noProof/>
          </w:rPr>
          <w:t>Separate PRACH resource</w:t>
        </w:r>
      </w:hyperlink>
    </w:p>
    <w:p w14:paraId="450E9B0B" w14:textId="4FE6E50D" w:rsidR="00E72266" w:rsidRDefault="00BA198A" w:rsidP="00715F10">
      <w:pPr>
        <w:pStyle w:val="TableofFigures"/>
        <w:numPr>
          <w:ilvl w:val="1"/>
          <w:numId w:val="36"/>
        </w:numPr>
        <w:tabs>
          <w:tab w:val="right" w:leader="dot" w:pos="9629"/>
        </w:tabs>
        <w:jc w:val="both"/>
        <w:rPr>
          <w:rFonts w:asciiTheme="minorHAnsi" w:eastAsiaTheme="minorEastAsia" w:hAnsiTheme="minorHAnsi"/>
          <w:b w:val="0"/>
          <w:noProof/>
          <w:sz w:val="22"/>
          <w:lang w:val="sv-SE" w:eastAsia="sv-SE"/>
        </w:rPr>
      </w:pPr>
      <w:hyperlink w:anchor="_Toc84024431" w:history="1">
        <w:r w:rsidR="00E72266" w:rsidRPr="00135A29">
          <w:rPr>
            <w:rStyle w:val="Hyperlink"/>
            <w:rFonts w:cs="Arial"/>
            <w:noProof/>
          </w:rPr>
          <w:t>PRACH preamble partitioning</w:t>
        </w:r>
      </w:hyperlink>
    </w:p>
    <w:p w14:paraId="5C5EE132" w14:textId="2EF08B47" w:rsidR="00E72266" w:rsidRDefault="00BA198A" w:rsidP="00715F10">
      <w:pPr>
        <w:pStyle w:val="TableofFigures"/>
        <w:numPr>
          <w:ilvl w:val="0"/>
          <w:numId w:val="36"/>
        </w:numPr>
        <w:tabs>
          <w:tab w:val="right" w:leader="dot" w:pos="9629"/>
        </w:tabs>
        <w:jc w:val="both"/>
        <w:rPr>
          <w:rFonts w:asciiTheme="minorHAnsi" w:eastAsiaTheme="minorEastAsia" w:hAnsiTheme="minorHAnsi"/>
          <w:b w:val="0"/>
          <w:noProof/>
          <w:sz w:val="22"/>
          <w:lang w:val="sv-SE" w:eastAsia="sv-SE"/>
        </w:rPr>
      </w:pPr>
      <w:hyperlink w:anchor="_Toc84024432" w:history="1">
        <w:r w:rsidR="00E72266" w:rsidRPr="00135A29">
          <w:rPr>
            <w:rStyle w:val="Hyperlink"/>
            <w:rFonts w:cs="Arial"/>
            <w:noProof/>
          </w:rPr>
          <w:t>How to support early indication of RedCap UEs in MsgA PUSCH is up to RAN2.</w:t>
        </w:r>
      </w:hyperlink>
    </w:p>
    <w:p w14:paraId="58ACA235" w14:textId="3EF210BC" w:rsidR="00C01F33" w:rsidRPr="00CE0424" w:rsidRDefault="006E1C82" w:rsidP="00F2064F">
      <w:pPr>
        <w:jc w:val="both"/>
      </w:pPr>
      <w:r>
        <w:rPr>
          <w:b/>
          <w:bCs/>
        </w:rPr>
        <w:fldChar w:fldCharType="end"/>
      </w:r>
    </w:p>
    <w:p w14:paraId="71D79D99" w14:textId="77777777" w:rsidR="00F507D1" w:rsidRPr="00CE0424" w:rsidRDefault="00F507D1" w:rsidP="00CE0424">
      <w:pPr>
        <w:pStyle w:val="Heading1"/>
      </w:pPr>
      <w:bookmarkStart w:id="34" w:name="_In-sequence_SDU_delivery"/>
      <w:bookmarkEnd w:id="34"/>
      <w:r w:rsidRPr="00CE0424">
        <w:t>References</w:t>
      </w:r>
    </w:p>
    <w:bookmarkStart w:id="35" w:name="_Ref65143491"/>
    <w:bookmarkStart w:id="36" w:name="_Ref71040330"/>
    <w:bookmarkStart w:id="37" w:name="_Ref174151459"/>
    <w:bookmarkStart w:id="38" w:name="_Ref189809556"/>
    <w:p w14:paraId="67A2B561" w14:textId="13908B30" w:rsidR="00653DA9" w:rsidRDefault="00D03A34" w:rsidP="00A55562">
      <w:pPr>
        <w:pStyle w:val="Reference"/>
      </w:pPr>
      <w:r>
        <w:fldChar w:fldCharType="begin"/>
      </w:r>
      <w:r>
        <w:instrText>HYPERLINK "https://www.3gpp.org/ftp/TSG_RAN/TSG_RAN/TSGR_92e/Docs/RP-211574.zip"</w:instrText>
      </w:r>
      <w:r>
        <w:fldChar w:fldCharType="separate"/>
      </w:r>
      <w:r>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 3GPP TSG RAN #</w:t>
      </w:r>
      <w:bookmarkEnd w:id="35"/>
      <w:r w:rsidR="00653DA9" w:rsidRPr="00653DA9">
        <w:t>9</w:t>
      </w:r>
      <w:r>
        <w:t>2</w:t>
      </w:r>
      <w:r w:rsidR="002039D0">
        <w:t>-</w:t>
      </w:r>
      <w:r w:rsidR="00653DA9" w:rsidRPr="00653DA9">
        <w:t xml:space="preserve">e, </w:t>
      </w:r>
      <w:r>
        <w:t>June</w:t>
      </w:r>
      <w:r w:rsidR="00653DA9" w:rsidRPr="00653DA9">
        <w:t xml:space="preserve"> 202</w:t>
      </w:r>
      <w:r w:rsidR="0052578B">
        <w:t>1</w:t>
      </w:r>
      <w:r w:rsidR="00653DA9" w:rsidRPr="00653DA9">
        <w:t>.</w:t>
      </w:r>
      <w:bookmarkEnd w:id="36"/>
      <w:r w:rsidR="00653DA9" w:rsidRPr="00653DA9">
        <w:t xml:space="preserve"> </w:t>
      </w:r>
    </w:p>
    <w:bookmarkStart w:id="39" w:name="_Ref83116980"/>
    <w:p w14:paraId="2B387BBE" w14:textId="75CCC8EC" w:rsidR="00236C6A" w:rsidRDefault="00236C6A" w:rsidP="00A55562">
      <w:pPr>
        <w:pStyle w:val="Reference"/>
      </w:pPr>
      <w:r w:rsidRPr="00236C6A">
        <w:fldChar w:fldCharType="begin"/>
      </w:r>
      <w:r w:rsidRPr="00236C6A">
        <w:instrText xml:space="preserve"> HYPERLINK "http://www.3gpp.org/ftp/tsg_ran/WG2_RL2/TSGR2_115-e/Docs/R2-2109218.zip" </w:instrText>
      </w:r>
      <w:r w:rsidRPr="00236C6A">
        <w:fldChar w:fldCharType="separate"/>
      </w:r>
      <w:r w:rsidRPr="00236C6A">
        <w:rPr>
          <w:rStyle w:val="Hyperlink"/>
        </w:rPr>
        <w:t>R2-2109218</w:t>
      </w:r>
      <w:r w:rsidRPr="00236C6A">
        <w:fldChar w:fldCharType="end"/>
      </w:r>
      <w:r>
        <w:t>, “</w:t>
      </w:r>
      <w:r w:rsidRPr="00236C6A">
        <w:t>LS on capability related RAN2 agreements for RedCap</w:t>
      </w:r>
      <w:r>
        <w:t>”, RAN2, 3GPP TSG RAN2#115-e, August 2021.</w:t>
      </w:r>
      <w:bookmarkEnd w:id="39"/>
      <w:r>
        <w:t xml:space="preserve"> </w:t>
      </w:r>
    </w:p>
    <w:bookmarkStart w:id="40" w:name="_Ref78279816"/>
    <w:p w14:paraId="1B6F56C1" w14:textId="55EF237E" w:rsidR="002039D0" w:rsidRDefault="002039D0" w:rsidP="00A55562">
      <w:pPr>
        <w:pStyle w:val="Reference"/>
      </w:pPr>
      <w:r>
        <w:rPr>
          <w:lang w:val="en-GB"/>
        </w:rPr>
        <w:fldChar w:fldCharType="begin"/>
      </w:r>
      <w:r>
        <w:rPr>
          <w:lang w:val="en-GB"/>
        </w:rPr>
        <w:instrText xml:space="preserve"> HYPERLINK "https://www.3gpp.org/ftp/tsg_ran/WG2_RL2/TSGR2_114-e/Docs/R2-2106472.zip" </w:instrText>
      </w:r>
      <w:r>
        <w:rPr>
          <w:lang w:val="en-GB"/>
        </w:rPr>
        <w:fldChar w:fldCharType="separate"/>
      </w:r>
      <w:r w:rsidRPr="002039D0">
        <w:rPr>
          <w:rStyle w:val="Hyperlink"/>
          <w:lang w:val="en-GB"/>
        </w:rPr>
        <w:t>R2-2106472</w:t>
      </w:r>
      <w:r>
        <w:rPr>
          <w:lang w:val="en-GB"/>
        </w:rPr>
        <w:fldChar w:fldCharType="end"/>
      </w:r>
      <w:r>
        <w:rPr>
          <w:lang w:val="en-GB"/>
        </w:rPr>
        <w:t>, “</w:t>
      </w:r>
      <w:r w:rsidRPr="002039D0">
        <w:rPr>
          <w:lang w:val="en-GB"/>
        </w:rPr>
        <w:t>Report from Break-out session on R17 NTN and REDCAP</w:t>
      </w:r>
      <w:r>
        <w:rPr>
          <w:lang w:val="en-GB"/>
        </w:rPr>
        <w:t xml:space="preserve">”, </w:t>
      </w:r>
      <w:r w:rsidRPr="002039D0">
        <w:rPr>
          <w:lang w:val="en-GB"/>
        </w:rPr>
        <w:t>Vice Chairman (ZTE Corporation)</w:t>
      </w:r>
      <w:r>
        <w:rPr>
          <w:lang w:val="en-GB"/>
        </w:rPr>
        <w:t>, 3GPP TSG RAN2 #114-e, May 2021</w:t>
      </w:r>
      <w:bookmarkEnd w:id="40"/>
    </w:p>
    <w:bookmarkStart w:id="41" w:name="_Ref65144387"/>
    <w:p w14:paraId="20BE2D49" w14:textId="19E9580B" w:rsidR="009237DC" w:rsidRDefault="00933097" w:rsidP="00A55562">
      <w:pPr>
        <w:pStyle w:val="Reference"/>
      </w:pPr>
      <w:r>
        <w:lastRenderedPageBreak/>
        <w:fldChar w:fldCharType="begin"/>
      </w:r>
      <w:r w:rsidR="00236C6A">
        <w:instrText>HYPERLINK "https://www.3gpp.org/ftp/tsg_ran/WG1_RL1/TSGR1_106-e/Docs/R1-2108271.zip"</w:instrText>
      </w:r>
      <w:r>
        <w:fldChar w:fldCharType="separate"/>
      </w:r>
      <w:r w:rsidR="00053254">
        <w:rPr>
          <w:rStyle w:val="Hyperlink"/>
        </w:rPr>
        <w:t>R1-210</w:t>
      </w:r>
      <w:r w:rsidR="00236C6A">
        <w:rPr>
          <w:rStyle w:val="Hyperlink"/>
        </w:rPr>
        <w:t>8271</w:t>
      </w:r>
      <w:r>
        <w:fldChar w:fldCharType="end"/>
      </w:r>
      <w:r w:rsidR="009237DC">
        <w:t xml:space="preserve">, </w:t>
      </w:r>
      <w:r>
        <w:t>“</w:t>
      </w:r>
      <w:r w:rsidR="009237DC" w:rsidRPr="009237DC">
        <w:t>RAN1 agreements for Rel-17 NR RedCap</w:t>
      </w:r>
      <w:r>
        <w:t>”</w:t>
      </w:r>
      <w:r w:rsidR="009237DC">
        <w:t xml:space="preserve">, </w:t>
      </w:r>
      <w:r w:rsidR="009237DC" w:rsidRPr="009237DC">
        <w:t>Rapporteur (Ericsson), 3GPP TSG RAN</w:t>
      </w:r>
      <w:r w:rsidR="009237DC">
        <w:t>1</w:t>
      </w:r>
      <w:r w:rsidR="009237DC" w:rsidRPr="009237DC">
        <w:t xml:space="preserve"> #</w:t>
      </w:r>
      <w:r w:rsidR="009237DC">
        <w:t>10</w:t>
      </w:r>
      <w:r w:rsidR="00236C6A">
        <w:t>6</w:t>
      </w:r>
      <w:r w:rsidR="002039D0">
        <w:t>-</w:t>
      </w:r>
      <w:r w:rsidR="009237DC" w:rsidRPr="009237DC">
        <w:t xml:space="preserve">e, </w:t>
      </w:r>
      <w:r w:rsidR="00E02161">
        <w:t>August</w:t>
      </w:r>
      <w:r w:rsidR="009237DC" w:rsidRPr="009237DC">
        <w:t xml:space="preserve"> 202</w:t>
      </w:r>
      <w:r w:rsidR="009237DC">
        <w:t>1.</w:t>
      </w:r>
      <w:bookmarkEnd w:id="41"/>
    </w:p>
    <w:bookmarkStart w:id="42" w:name="_Ref83120218"/>
    <w:bookmarkStart w:id="43" w:name="_Ref83125347"/>
    <w:p w14:paraId="0E4D21A7" w14:textId="47204F83" w:rsidR="00E02161" w:rsidRDefault="00E02161" w:rsidP="00E02161">
      <w:pPr>
        <w:pStyle w:val="Reference"/>
      </w:pPr>
      <w:r>
        <w:rPr>
          <w:lang w:val="en-GB"/>
        </w:rPr>
        <w:fldChar w:fldCharType="begin"/>
      </w:r>
      <w:r>
        <w:rPr>
          <w:lang w:val="en-GB"/>
        </w:rPr>
        <w:instrText xml:space="preserve"> HYPERLINK "https://www.3gpp.org/ftp/tsg_ran/WG2_RL2/TSGR2_115-e/Inbox/Chairmans_Notes/RAN2-115-e%20-%20R17%20NTN-REDCAP-CE_2021_08_27_EOM.docx" </w:instrText>
      </w:r>
      <w:r>
        <w:rPr>
          <w:lang w:val="en-GB"/>
        </w:rPr>
        <w:fldChar w:fldCharType="separate"/>
      </w:r>
      <w:r w:rsidRPr="00E02161">
        <w:rPr>
          <w:rStyle w:val="Hyperlink"/>
          <w:lang w:val="en-GB"/>
        </w:rPr>
        <w:t>R2-2108832</w:t>
      </w:r>
      <w:r>
        <w:rPr>
          <w:lang w:val="en-GB"/>
        </w:rPr>
        <w:fldChar w:fldCharType="end"/>
      </w:r>
      <w:r>
        <w:rPr>
          <w:lang w:val="en-GB"/>
        </w:rPr>
        <w:t>, “</w:t>
      </w:r>
      <w:r w:rsidRPr="002039D0">
        <w:rPr>
          <w:lang w:val="en-GB"/>
        </w:rPr>
        <w:t>Report from Break-out session on R17 NTN and REDCAP</w:t>
      </w:r>
      <w:r>
        <w:rPr>
          <w:lang w:val="en-GB"/>
        </w:rPr>
        <w:t xml:space="preserve">”, </w:t>
      </w:r>
      <w:r w:rsidRPr="002039D0">
        <w:rPr>
          <w:lang w:val="en-GB"/>
        </w:rPr>
        <w:t>Vice Chairman (ZTE Corporation)</w:t>
      </w:r>
      <w:r>
        <w:rPr>
          <w:lang w:val="en-GB"/>
        </w:rPr>
        <w:t>, 3GPP TSG RAN2 #115-e, August 2021</w:t>
      </w:r>
      <w:bookmarkEnd w:id="42"/>
      <w:r w:rsidR="0059610F">
        <w:rPr>
          <w:lang w:val="en-GB"/>
        </w:rPr>
        <w:t>.</w:t>
      </w:r>
      <w:bookmarkEnd w:id="43"/>
    </w:p>
    <w:bookmarkStart w:id="44" w:name="_Ref83123728"/>
    <w:p w14:paraId="3997C429" w14:textId="22DF6437" w:rsidR="00E02161" w:rsidRPr="00653DA9" w:rsidRDefault="0059610F" w:rsidP="00A55562">
      <w:pPr>
        <w:pStyle w:val="Reference"/>
      </w:pPr>
      <w:r>
        <w:fldChar w:fldCharType="begin"/>
      </w:r>
      <w:r>
        <w:instrText xml:space="preserve"> HYPERLINK "https://www.3gpp.org/ftp/tsg_ran/TSG_RAN/TSGR_93e/Docs/RP-212634.zip" </w:instrText>
      </w:r>
      <w:r>
        <w:fldChar w:fldCharType="separate"/>
      </w:r>
      <w:r w:rsidRPr="0059610F">
        <w:rPr>
          <w:rStyle w:val="Hyperlink"/>
        </w:rPr>
        <w:t>RP-212634</w:t>
      </w:r>
      <w:r>
        <w:fldChar w:fldCharType="end"/>
      </w:r>
      <w:r>
        <w:t>, “</w:t>
      </w:r>
      <w:r w:rsidRPr="0059610F">
        <w:t xml:space="preserve">Moderator's summary for discussion [93e-16-RedCap-WI] (for discussion </w:t>
      </w:r>
      <w:proofErr w:type="gramStart"/>
      <w:r w:rsidRPr="0059610F">
        <w:t>in</w:t>
      </w:r>
      <w:proofErr w:type="gramEnd"/>
      <w:r w:rsidRPr="0059610F">
        <w:t xml:space="preserve"> Friday GTW)</w:t>
      </w:r>
      <w:r>
        <w:t xml:space="preserve">”, Intel, </w:t>
      </w:r>
      <w:r w:rsidRPr="0059610F">
        <w:t>3GPP TSG RAN#93-e</w:t>
      </w:r>
      <w:r>
        <w:t>, September 2021.</w:t>
      </w:r>
      <w:bookmarkEnd w:id="44"/>
    </w:p>
    <w:bookmarkEnd w:id="37"/>
    <w:bookmarkEnd w:id="38"/>
    <w:p w14:paraId="73F7C6AB" w14:textId="77777777" w:rsidR="000E6F81" w:rsidRPr="0033180F" w:rsidRDefault="000E6F81" w:rsidP="005C50A1">
      <w:pPr>
        <w:pStyle w:val="Reference"/>
        <w:numPr>
          <w:ilvl w:val="0"/>
          <w:numId w:val="0"/>
        </w:numPr>
        <w:ind w:left="567"/>
        <w:rPr>
          <w:szCs w:val="20"/>
        </w:rPr>
      </w:pPr>
    </w:p>
    <w:sectPr w:rsidR="000E6F81" w:rsidRPr="0033180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5F065" w14:textId="77777777" w:rsidR="00BA198A" w:rsidRDefault="00BA198A">
      <w:r>
        <w:separator/>
      </w:r>
    </w:p>
  </w:endnote>
  <w:endnote w:type="continuationSeparator" w:id="0">
    <w:p w14:paraId="7CDE5358" w14:textId="77777777" w:rsidR="00BA198A" w:rsidRDefault="00BA198A">
      <w:r>
        <w:continuationSeparator/>
      </w:r>
    </w:p>
  </w:endnote>
  <w:endnote w:type="continuationNotice" w:id="1">
    <w:p w14:paraId="6EDE0390" w14:textId="77777777" w:rsidR="00BA198A" w:rsidRDefault="00BA19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34597E" w:rsidRDefault="003459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A268C" w14:textId="77777777" w:rsidR="00BA198A" w:rsidRDefault="00BA198A">
      <w:r>
        <w:separator/>
      </w:r>
    </w:p>
  </w:footnote>
  <w:footnote w:type="continuationSeparator" w:id="0">
    <w:p w14:paraId="62DFFF67" w14:textId="77777777" w:rsidR="00BA198A" w:rsidRDefault="00BA198A">
      <w:r>
        <w:continuationSeparator/>
      </w:r>
    </w:p>
  </w:footnote>
  <w:footnote w:type="continuationNotice" w:id="1">
    <w:p w14:paraId="6C662E57" w14:textId="77777777" w:rsidR="00BA198A" w:rsidRDefault="00BA19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34597E" w:rsidRDefault="003459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731BE"/>
    <w:multiLevelType w:val="hybridMultilevel"/>
    <w:tmpl w:val="27E00A8A"/>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606076"/>
    <w:multiLevelType w:val="hybridMultilevel"/>
    <w:tmpl w:val="C2304674"/>
    <w:lvl w:ilvl="0" w:tplc="401A931E">
      <w:start w:val="1"/>
      <w:numFmt w:val="decim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8B3FC0"/>
    <w:multiLevelType w:val="hybridMultilevel"/>
    <w:tmpl w:val="189469DE"/>
    <w:lvl w:ilvl="0" w:tplc="03E4A152">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1D0001">
      <w:start w:val="1"/>
      <w:numFmt w:val="bullet"/>
      <w:lvlText w:val=""/>
      <w:lvlJc w:val="left"/>
      <w:pPr>
        <w:ind w:left="2160" w:hanging="180"/>
      </w:pPr>
      <w:rPr>
        <w:rFonts w:ascii="Symbol" w:hAnsi="Symbol" w:hint="default"/>
      </w:rPr>
    </w:lvl>
    <w:lvl w:ilvl="3" w:tplc="041D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2258BC"/>
    <w:multiLevelType w:val="hybridMultilevel"/>
    <w:tmpl w:val="BA4EF868"/>
    <w:lvl w:ilvl="0" w:tplc="041D0001">
      <w:start w:val="1"/>
      <w:numFmt w:val="bullet"/>
      <w:lvlText w:val=""/>
      <w:lvlJc w:val="left"/>
      <w:pPr>
        <w:ind w:left="2700" w:hanging="360"/>
      </w:pPr>
      <w:rPr>
        <w:rFonts w:ascii="Symbol" w:hAnsi="Symbol" w:hint="default"/>
      </w:rPr>
    </w:lvl>
    <w:lvl w:ilvl="1" w:tplc="041D0003" w:tentative="1">
      <w:start w:val="1"/>
      <w:numFmt w:val="bullet"/>
      <w:lvlText w:val="o"/>
      <w:lvlJc w:val="left"/>
      <w:pPr>
        <w:ind w:left="3420" w:hanging="360"/>
      </w:pPr>
      <w:rPr>
        <w:rFonts w:ascii="Courier New" w:hAnsi="Courier New" w:cs="Courier New" w:hint="default"/>
      </w:rPr>
    </w:lvl>
    <w:lvl w:ilvl="2" w:tplc="041D0005">
      <w:start w:val="1"/>
      <w:numFmt w:val="bullet"/>
      <w:lvlText w:val=""/>
      <w:lvlJc w:val="left"/>
      <w:pPr>
        <w:ind w:left="4140" w:hanging="360"/>
      </w:pPr>
      <w:rPr>
        <w:rFonts w:ascii="Wingdings" w:hAnsi="Wingdings" w:hint="default"/>
      </w:rPr>
    </w:lvl>
    <w:lvl w:ilvl="3" w:tplc="041D0001" w:tentative="1">
      <w:start w:val="1"/>
      <w:numFmt w:val="bullet"/>
      <w:lvlText w:val=""/>
      <w:lvlJc w:val="left"/>
      <w:pPr>
        <w:ind w:left="4860" w:hanging="360"/>
      </w:pPr>
      <w:rPr>
        <w:rFonts w:ascii="Symbol" w:hAnsi="Symbol" w:hint="default"/>
      </w:rPr>
    </w:lvl>
    <w:lvl w:ilvl="4" w:tplc="041D0003" w:tentative="1">
      <w:start w:val="1"/>
      <w:numFmt w:val="bullet"/>
      <w:lvlText w:val="o"/>
      <w:lvlJc w:val="left"/>
      <w:pPr>
        <w:ind w:left="5580" w:hanging="360"/>
      </w:pPr>
      <w:rPr>
        <w:rFonts w:ascii="Courier New" w:hAnsi="Courier New" w:cs="Courier New" w:hint="default"/>
      </w:rPr>
    </w:lvl>
    <w:lvl w:ilvl="5" w:tplc="041D0005" w:tentative="1">
      <w:start w:val="1"/>
      <w:numFmt w:val="bullet"/>
      <w:lvlText w:val=""/>
      <w:lvlJc w:val="left"/>
      <w:pPr>
        <w:ind w:left="6300" w:hanging="360"/>
      </w:pPr>
      <w:rPr>
        <w:rFonts w:ascii="Wingdings" w:hAnsi="Wingdings" w:hint="default"/>
      </w:rPr>
    </w:lvl>
    <w:lvl w:ilvl="6" w:tplc="041D0001" w:tentative="1">
      <w:start w:val="1"/>
      <w:numFmt w:val="bullet"/>
      <w:lvlText w:val=""/>
      <w:lvlJc w:val="left"/>
      <w:pPr>
        <w:ind w:left="7020" w:hanging="360"/>
      </w:pPr>
      <w:rPr>
        <w:rFonts w:ascii="Symbol" w:hAnsi="Symbol" w:hint="default"/>
      </w:rPr>
    </w:lvl>
    <w:lvl w:ilvl="7" w:tplc="041D0003" w:tentative="1">
      <w:start w:val="1"/>
      <w:numFmt w:val="bullet"/>
      <w:lvlText w:val="o"/>
      <w:lvlJc w:val="left"/>
      <w:pPr>
        <w:ind w:left="7740" w:hanging="360"/>
      </w:pPr>
      <w:rPr>
        <w:rFonts w:ascii="Courier New" w:hAnsi="Courier New" w:cs="Courier New" w:hint="default"/>
      </w:rPr>
    </w:lvl>
    <w:lvl w:ilvl="8" w:tplc="041D0005" w:tentative="1">
      <w:start w:val="1"/>
      <w:numFmt w:val="bullet"/>
      <w:lvlText w:val=""/>
      <w:lvlJc w:val="left"/>
      <w:pPr>
        <w:ind w:left="846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C06723"/>
    <w:multiLevelType w:val="hybridMultilevel"/>
    <w:tmpl w:val="E15870D4"/>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9" w15:restartNumberingAfterBreak="0">
    <w:nsid w:val="38862F75"/>
    <w:multiLevelType w:val="hybridMultilevel"/>
    <w:tmpl w:val="AFC8FA92"/>
    <w:lvl w:ilvl="0" w:tplc="401A931E">
      <w:start w:val="1"/>
      <w:numFmt w:val="decim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1" w15:restartNumberingAfterBreak="0">
    <w:nsid w:val="3AA46647"/>
    <w:multiLevelType w:val="hybridMultilevel"/>
    <w:tmpl w:val="C788324E"/>
    <w:lvl w:ilvl="0" w:tplc="401A931E">
      <w:start w:val="1"/>
      <w:numFmt w:val="decimal"/>
      <w:pStyle w:val="Propos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4"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4184BCCE"/>
    <w:lvl w:ilvl="0" w:tplc="03E4A1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1D0001">
      <w:start w:val="1"/>
      <w:numFmt w:val="bullet"/>
      <w:lvlText w:val=""/>
      <w:lvlJc w:val="left"/>
      <w:pPr>
        <w:ind w:left="2160" w:hanging="180"/>
      </w:pPr>
      <w:rPr>
        <w:rFonts w:ascii="Symbol" w:hAnsi="Symbol" w:hint="default"/>
      </w:rPr>
    </w:lvl>
    <w:lvl w:ilvl="3" w:tplc="041D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0"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1"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5"/>
  </w:num>
  <w:num w:numId="2">
    <w:abstractNumId w:val="21"/>
  </w:num>
  <w:num w:numId="3">
    <w:abstractNumId w:val="0"/>
  </w:num>
  <w:num w:numId="4">
    <w:abstractNumId w:val="26"/>
  </w:num>
  <w:num w:numId="5">
    <w:abstractNumId w:val="27"/>
  </w:num>
  <w:num w:numId="6">
    <w:abstractNumId w:val="28"/>
  </w:num>
  <w:num w:numId="7">
    <w:abstractNumId w:val="9"/>
  </w:num>
  <w:num w:numId="8">
    <w:abstractNumId w:val="11"/>
  </w:num>
  <w:num w:numId="9">
    <w:abstractNumId w:val="2"/>
  </w:num>
  <w:num w:numId="10">
    <w:abstractNumId w:val="34"/>
  </w:num>
  <w:num w:numId="11">
    <w:abstractNumId w:val="17"/>
  </w:num>
  <w:num w:numId="12">
    <w:abstractNumId w:val="32"/>
  </w:num>
  <w:num w:numId="13">
    <w:abstractNumId w:val="15"/>
  </w:num>
  <w:num w:numId="14">
    <w:abstractNumId w:val="13"/>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5"/>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7"/>
  </w:num>
  <w:num w:numId="21">
    <w:abstractNumId w:val="6"/>
  </w:num>
  <w:num w:numId="22">
    <w:abstractNumId w:val="8"/>
  </w:num>
  <w:num w:numId="23">
    <w:abstractNumId w:val="29"/>
  </w:num>
  <w:num w:numId="24">
    <w:abstractNumId w:val="33"/>
  </w:num>
  <w:num w:numId="25">
    <w:abstractNumId w:val="31"/>
  </w:num>
  <w:num w:numId="26">
    <w:abstractNumId w:val="3"/>
  </w:num>
  <w:num w:numId="27">
    <w:abstractNumId w:val="20"/>
  </w:num>
  <w:num w:numId="28">
    <w:abstractNumId w:val="4"/>
  </w:num>
  <w:num w:numId="29">
    <w:abstractNumId w:val="10"/>
  </w:num>
  <w:num w:numId="30">
    <w:abstractNumId w:val="16"/>
  </w:num>
  <w:num w:numId="31">
    <w:abstractNumId w:val="23"/>
  </w:num>
  <w:num w:numId="32">
    <w:abstractNumId w:val="14"/>
  </w:num>
  <w:num w:numId="33">
    <w:abstractNumId w:val="19"/>
  </w:num>
  <w:num w:numId="34">
    <w:abstractNumId w:val="12"/>
  </w:num>
  <w:num w:numId="35">
    <w:abstractNumId w:val="18"/>
  </w:num>
  <w:num w:numId="3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564C"/>
    <w:rsid w:val="00006446"/>
    <w:rsid w:val="00006896"/>
    <w:rsid w:val="00007CDC"/>
    <w:rsid w:val="000108F9"/>
    <w:rsid w:val="00010C5B"/>
    <w:rsid w:val="00011B28"/>
    <w:rsid w:val="00011EF7"/>
    <w:rsid w:val="000123C6"/>
    <w:rsid w:val="00014ADE"/>
    <w:rsid w:val="00014C51"/>
    <w:rsid w:val="00014E91"/>
    <w:rsid w:val="0001564B"/>
    <w:rsid w:val="00015AE3"/>
    <w:rsid w:val="00015D15"/>
    <w:rsid w:val="00017BE7"/>
    <w:rsid w:val="0002019C"/>
    <w:rsid w:val="000214BE"/>
    <w:rsid w:val="000233D8"/>
    <w:rsid w:val="00024569"/>
    <w:rsid w:val="0002564D"/>
    <w:rsid w:val="00025ECA"/>
    <w:rsid w:val="00026B32"/>
    <w:rsid w:val="000305F5"/>
    <w:rsid w:val="00031477"/>
    <w:rsid w:val="0003180E"/>
    <w:rsid w:val="000325B8"/>
    <w:rsid w:val="00032F18"/>
    <w:rsid w:val="00033418"/>
    <w:rsid w:val="00034C15"/>
    <w:rsid w:val="00034E5A"/>
    <w:rsid w:val="0003503D"/>
    <w:rsid w:val="00036BA1"/>
    <w:rsid w:val="00040707"/>
    <w:rsid w:val="00040BCE"/>
    <w:rsid w:val="000422E2"/>
    <w:rsid w:val="00042B82"/>
    <w:rsid w:val="00042F22"/>
    <w:rsid w:val="00043BB0"/>
    <w:rsid w:val="00044222"/>
    <w:rsid w:val="000444EF"/>
    <w:rsid w:val="000459E1"/>
    <w:rsid w:val="00047D9A"/>
    <w:rsid w:val="000502BB"/>
    <w:rsid w:val="00050A7C"/>
    <w:rsid w:val="00050CBE"/>
    <w:rsid w:val="00050CFC"/>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487E"/>
    <w:rsid w:val="00065E1A"/>
    <w:rsid w:val="00067187"/>
    <w:rsid w:val="0006782A"/>
    <w:rsid w:val="00067FA1"/>
    <w:rsid w:val="00070862"/>
    <w:rsid w:val="00071340"/>
    <w:rsid w:val="0007769D"/>
    <w:rsid w:val="00077C43"/>
    <w:rsid w:val="00077E5F"/>
    <w:rsid w:val="0008036A"/>
    <w:rsid w:val="000806C8"/>
    <w:rsid w:val="00080AB4"/>
    <w:rsid w:val="00081384"/>
    <w:rsid w:val="000815AF"/>
    <w:rsid w:val="00081AE6"/>
    <w:rsid w:val="0008244D"/>
    <w:rsid w:val="00083FD4"/>
    <w:rsid w:val="00084291"/>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64C0"/>
    <w:rsid w:val="00097548"/>
    <w:rsid w:val="000A1232"/>
    <w:rsid w:val="000A1B7B"/>
    <w:rsid w:val="000A3181"/>
    <w:rsid w:val="000A3C0C"/>
    <w:rsid w:val="000A3EF4"/>
    <w:rsid w:val="000A56F2"/>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D0A5F"/>
    <w:rsid w:val="000D0D07"/>
    <w:rsid w:val="000D3303"/>
    <w:rsid w:val="000D4797"/>
    <w:rsid w:val="000D7BA7"/>
    <w:rsid w:val="000D7CA3"/>
    <w:rsid w:val="000E0527"/>
    <w:rsid w:val="000E1E92"/>
    <w:rsid w:val="000E2209"/>
    <w:rsid w:val="000E3959"/>
    <w:rsid w:val="000E4DF1"/>
    <w:rsid w:val="000E6625"/>
    <w:rsid w:val="000E6F81"/>
    <w:rsid w:val="000F06D6"/>
    <w:rsid w:val="000F08B6"/>
    <w:rsid w:val="000F0EB1"/>
    <w:rsid w:val="000F1106"/>
    <w:rsid w:val="000F17D0"/>
    <w:rsid w:val="000F245C"/>
    <w:rsid w:val="000F30BC"/>
    <w:rsid w:val="000F392F"/>
    <w:rsid w:val="000F3BE9"/>
    <w:rsid w:val="000F3F6C"/>
    <w:rsid w:val="000F54D6"/>
    <w:rsid w:val="000F625C"/>
    <w:rsid w:val="000F6DF3"/>
    <w:rsid w:val="001005FF"/>
    <w:rsid w:val="001007A2"/>
    <w:rsid w:val="00102B62"/>
    <w:rsid w:val="001042E0"/>
    <w:rsid w:val="001050FA"/>
    <w:rsid w:val="001062FB"/>
    <w:rsid w:val="001063E6"/>
    <w:rsid w:val="001064BD"/>
    <w:rsid w:val="0010757B"/>
    <w:rsid w:val="00112161"/>
    <w:rsid w:val="0011270D"/>
    <w:rsid w:val="00113CF4"/>
    <w:rsid w:val="00113EED"/>
    <w:rsid w:val="00114222"/>
    <w:rsid w:val="001145AF"/>
    <w:rsid w:val="001147F3"/>
    <w:rsid w:val="00114F90"/>
    <w:rsid w:val="001153EA"/>
    <w:rsid w:val="00115643"/>
    <w:rsid w:val="00116765"/>
    <w:rsid w:val="0011752C"/>
    <w:rsid w:val="001177E6"/>
    <w:rsid w:val="00120A07"/>
    <w:rsid w:val="0012181F"/>
    <w:rsid w:val="001219F5"/>
    <w:rsid w:val="00121A20"/>
    <w:rsid w:val="00121C9F"/>
    <w:rsid w:val="0012377F"/>
    <w:rsid w:val="00124314"/>
    <w:rsid w:val="00126B4A"/>
    <w:rsid w:val="00130CAE"/>
    <w:rsid w:val="00132DAE"/>
    <w:rsid w:val="00132FD0"/>
    <w:rsid w:val="001333F7"/>
    <w:rsid w:val="00133DDE"/>
    <w:rsid w:val="001344C0"/>
    <w:rsid w:val="001346FA"/>
    <w:rsid w:val="00134D64"/>
    <w:rsid w:val="00135252"/>
    <w:rsid w:val="00137AB5"/>
    <w:rsid w:val="00137F0B"/>
    <w:rsid w:val="0014059D"/>
    <w:rsid w:val="00141AE4"/>
    <w:rsid w:val="00144125"/>
    <w:rsid w:val="001441A8"/>
    <w:rsid w:val="00145308"/>
    <w:rsid w:val="001463AE"/>
    <w:rsid w:val="00151417"/>
    <w:rsid w:val="00151E23"/>
    <w:rsid w:val="001526E0"/>
    <w:rsid w:val="001537F1"/>
    <w:rsid w:val="001538D3"/>
    <w:rsid w:val="001551B5"/>
    <w:rsid w:val="00157485"/>
    <w:rsid w:val="00161B2A"/>
    <w:rsid w:val="001632CB"/>
    <w:rsid w:val="00165108"/>
    <w:rsid w:val="001654DE"/>
    <w:rsid w:val="001659C1"/>
    <w:rsid w:val="0016695F"/>
    <w:rsid w:val="00167178"/>
    <w:rsid w:val="001678AE"/>
    <w:rsid w:val="00167EFD"/>
    <w:rsid w:val="001717AF"/>
    <w:rsid w:val="00171C80"/>
    <w:rsid w:val="00172494"/>
    <w:rsid w:val="0017354E"/>
    <w:rsid w:val="00173A8E"/>
    <w:rsid w:val="001744CF"/>
    <w:rsid w:val="0017502C"/>
    <w:rsid w:val="00176056"/>
    <w:rsid w:val="00180D83"/>
    <w:rsid w:val="0018143F"/>
    <w:rsid w:val="00181FF8"/>
    <w:rsid w:val="001829BD"/>
    <w:rsid w:val="00185164"/>
    <w:rsid w:val="00186006"/>
    <w:rsid w:val="0019035B"/>
    <w:rsid w:val="00190AC1"/>
    <w:rsid w:val="0019181D"/>
    <w:rsid w:val="00191E47"/>
    <w:rsid w:val="00191F3E"/>
    <w:rsid w:val="00192555"/>
    <w:rsid w:val="0019341A"/>
    <w:rsid w:val="001939DC"/>
    <w:rsid w:val="00195FFB"/>
    <w:rsid w:val="00197599"/>
    <w:rsid w:val="00197DF9"/>
    <w:rsid w:val="001A0651"/>
    <w:rsid w:val="001A07F3"/>
    <w:rsid w:val="001A0890"/>
    <w:rsid w:val="001A1837"/>
    <w:rsid w:val="001A1987"/>
    <w:rsid w:val="001A1DFE"/>
    <w:rsid w:val="001A221A"/>
    <w:rsid w:val="001A2564"/>
    <w:rsid w:val="001A58E2"/>
    <w:rsid w:val="001A6173"/>
    <w:rsid w:val="001A6CBA"/>
    <w:rsid w:val="001A7DF9"/>
    <w:rsid w:val="001B07DB"/>
    <w:rsid w:val="001B0D97"/>
    <w:rsid w:val="001B183C"/>
    <w:rsid w:val="001B3197"/>
    <w:rsid w:val="001B3412"/>
    <w:rsid w:val="001B5A5D"/>
    <w:rsid w:val="001B5E3D"/>
    <w:rsid w:val="001B7757"/>
    <w:rsid w:val="001C0273"/>
    <w:rsid w:val="001C02CB"/>
    <w:rsid w:val="001C1CE5"/>
    <w:rsid w:val="001C2467"/>
    <w:rsid w:val="001C3D2A"/>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6342"/>
    <w:rsid w:val="001D6D53"/>
    <w:rsid w:val="001E09F6"/>
    <w:rsid w:val="001E1156"/>
    <w:rsid w:val="001E1745"/>
    <w:rsid w:val="001E1D6C"/>
    <w:rsid w:val="001E2F42"/>
    <w:rsid w:val="001E391D"/>
    <w:rsid w:val="001E3E82"/>
    <w:rsid w:val="001E47F3"/>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12C0"/>
    <w:rsid w:val="00211535"/>
    <w:rsid w:val="00211A5D"/>
    <w:rsid w:val="002132BD"/>
    <w:rsid w:val="00214DA8"/>
    <w:rsid w:val="00214FCF"/>
    <w:rsid w:val="00215423"/>
    <w:rsid w:val="002158FA"/>
    <w:rsid w:val="00216705"/>
    <w:rsid w:val="002178E9"/>
    <w:rsid w:val="00220600"/>
    <w:rsid w:val="00221CCE"/>
    <w:rsid w:val="002221F7"/>
    <w:rsid w:val="002224DB"/>
    <w:rsid w:val="00222A6B"/>
    <w:rsid w:val="00223FCB"/>
    <w:rsid w:val="0022426A"/>
    <w:rsid w:val="002252C3"/>
    <w:rsid w:val="002253B6"/>
    <w:rsid w:val="002259C8"/>
    <w:rsid w:val="00225C54"/>
    <w:rsid w:val="002302B6"/>
    <w:rsid w:val="00230765"/>
    <w:rsid w:val="00230D18"/>
    <w:rsid w:val="002319E4"/>
    <w:rsid w:val="00234409"/>
    <w:rsid w:val="002351BA"/>
    <w:rsid w:val="0023544B"/>
    <w:rsid w:val="00235632"/>
    <w:rsid w:val="00235872"/>
    <w:rsid w:val="002360CA"/>
    <w:rsid w:val="002368AD"/>
    <w:rsid w:val="00236C6A"/>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4C30"/>
    <w:rsid w:val="00254F8B"/>
    <w:rsid w:val="00255376"/>
    <w:rsid w:val="002574E1"/>
    <w:rsid w:val="00257543"/>
    <w:rsid w:val="00257D99"/>
    <w:rsid w:val="002617E7"/>
    <w:rsid w:val="00261800"/>
    <w:rsid w:val="00262725"/>
    <w:rsid w:val="00264228"/>
    <w:rsid w:val="00264334"/>
    <w:rsid w:val="0026473E"/>
    <w:rsid w:val="00264CDD"/>
    <w:rsid w:val="00266214"/>
    <w:rsid w:val="0026671C"/>
    <w:rsid w:val="00266BD2"/>
    <w:rsid w:val="0026707F"/>
    <w:rsid w:val="00267C83"/>
    <w:rsid w:val="00271363"/>
    <w:rsid w:val="0027144F"/>
    <w:rsid w:val="00271813"/>
    <w:rsid w:val="00271F3A"/>
    <w:rsid w:val="002730F0"/>
    <w:rsid w:val="00273278"/>
    <w:rsid w:val="002737F4"/>
    <w:rsid w:val="00276B8C"/>
    <w:rsid w:val="00277BBD"/>
    <w:rsid w:val="002805F5"/>
    <w:rsid w:val="00280731"/>
    <w:rsid w:val="00280751"/>
    <w:rsid w:val="00281C92"/>
    <w:rsid w:val="0028280A"/>
    <w:rsid w:val="00282B31"/>
    <w:rsid w:val="00282B70"/>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6227"/>
    <w:rsid w:val="00296C37"/>
    <w:rsid w:val="00296F44"/>
    <w:rsid w:val="0029777D"/>
    <w:rsid w:val="002977F5"/>
    <w:rsid w:val="00297CFD"/>
    <w:rsid w:val="002A055E"/>
    <w:rsid w:val="002A18A4"/>
    <w:rsid w:val="002A1D4E"/>
    <w:rsid w:val="002A2869"/>
    <w:rsid w:val="002A3319"/>
    <w:rsid w:val="002A34C2"/>
    <w:rsid w:val="002A3730"/>
    <w:rsid w:val="002A4F5B"/>
    <w:rsid w:val="002A714F"/>
    <w:rsid w:val="002A7A07"/>
    <w:rsid w:val="002A7BDC"/>
    <w:rsid w:val="002B134D"/>
    <w:rsid w:val="002B24D6"/>
    <w:rsid w:val="002B690C"/>
    <w:rsid w:val="002B74E8"/>
    <w:rsid w:val="002C1552"/>
    <w:rsid w:val="002C2BE5"/>
    <w:rsid w:val="002C3BA1"/>
    <w:rsid w:val="002C41E6"/>
    <w:rsid w:val="002C56C6"/>
    <w:rsid w:val="002C5DD2"/>
    <w:rsid w:val="002C5DDB"/>
    <w:rsid w:val="002C64E8"/>
    <w:rsid w:val="002C6EC8"/>
    <w:rsid w:val="002D071A"/>
    <w:rsid w:val="002D0DEC"/>
    <w:rsid w:val="002D1C03"/>
    <w:rsid w:val="002D34B2"/>
    <w:rsid w:val="002D34E1"/>
    <w:rsid w:val="002D48B0"/>
    <w:rsid w:val="002D5B37"/>
    <w:rsid w:val="002D6400"/>
    <w:rsid w:val="002D73F7"/>
    <w:rsid w:val="002D7637"/>
    <w:rsid w:val="002E17C1"/>
    <w:rsid w:val="002E17F2"/>
    <w:rsid w:val="002E3A37"/>
    <w:rsid w:val="002E3D7C"/>
    <w:rsid w:val="002E6267"/>
    <w:rsid w:val="002E7CAE"/>
    <w:rsid w:val="002F13E4"/>
    <w:rsid w:val="002F2771"/>
    <w:rsid w:val="002F37A9"/>
    <w:rsid w:val="002F6A3E"/>
    <w:rsid w:val="002F762F"/>
    <w:rsid w:val="002F7FA1"/>
    <w:rsid w:val="00301CE6"/>
    <w:rsid w:val="0030256B"/>
    <w:rsid w:val="003040AC"/>
    <w:rsid w:val="003043D9"/>
    <w:rsid w:val="0030501F"/>
    <w:rsid w:val="00305551"/>
    <w:rsid w:val="0030711A"/>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2F60"/>
    <w:rsid w:val="00324D23"/>
    <w:rsid w:val="00324E27"/>
    <w:rsid w:val="003254FA"/>
    <w:rsid w:val="00331751"/>
    <w:rsid w:val="0033180F"/>
    <w:rsid w:val="00332F5E"/>
    <w:rsid w:val="00333457"/>
    <w:rsid w:val="00334579"/>
    <w:rsid w:val="00335858"/>
    <w:rsid w:val="00335F8A"/>
    <w:rsid w:val="00336BDA"/>
    <w:rsid w:val="003408C8"/>
    <w:rsid w:val="003408F0"/>
    <w:rsid w:val="0034206B"/>
    <w:rsid w:val="003426C3"/>
    <w:rsid w:val="00342BD7"/>
    <w:rsid w:val="00343847"/>
    <w:rsid w:val="003442B7"/>
    <w:rsid w:val="0034597E"/>
    <w:rsid w:val="00346DB5"/>
    <w:rsid w:val="003477B1"/>
    <w:rsid w:val="00350C8B"/>
    <w:rsid w:val="00350CA7"/>
    <w:rsid w:val="003520B6"/>
    <w:rsid w:val="00353206"/>
    <w:rsid w:val="0035368E"/>
    <w:rsid w:val="00354453"/>
    <w:rsid w:val="003545E4"/>
    <w:rsid w:val="00357252"/>
    <w:rsid w:val="00357380"/>
    <w:rsid w:val="0036009A"/>
    <w:rsid w:val="003602D9"/>
    <w:rsid w:val="003604CE"/>
    <w:rsid w:val="00360C68"/>
    <w:rsid w:val="0036196C"/>
    <w:rsid w:val="00362076"/>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19E3"/>
    <w:rsid w:val="00372B2C"/>
    <w:rsid w:val="00372E20"/>
    <w:rsid w:val="003737A3"/>
    <w:rsid w:val="003742AC"/>
    <w:rsid w:val="00375B7D"/>
    <w:rsid w:val="00377CE1"/>
    <w:rsid w:val="003803F6"/>
    <w:rsid w:val="00380E1D"/>
    <w:rsid w:val="0038193C"/>
    <w:rsid w:val="00381C71"/>
    <w:rsid w:val="00382FF7"/>
    <w:rsid w:val="00383906"/>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5B0A"/>
    <w:rsid w:val="003A6BAC"/>
    <w:rsid w:val="003A70A4"/>
    <w:rsid w:val="003A74C2"/>
    <w:rsid w:val="003A7E5C"/>
    <w:rsid w:val="003A7EF3"/>
    <w:rsid w:val="003B0690"/>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03FC"/>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1523"/>
    <w:rsid w:val="003F2CD4"/>
    <w:rsid w:val="003F53E9"/>
    <w:rsid w:val="003F57A9"/>
    <w:rsid w:val="003F5BDE"/>
    <w:rsid w:val="003F5DBB"/>
    <w:rsid w:val="003F5E7C"/>
    <w:rsid w:val="003F5EA8"/>
    <w:rsid w:val="003F6BBE"/>
    <w:rsid w:val="003F739A"/>
    <w:rsid w:val="003F7CBE"/>
    <w:rsid w:val="003F7FC9"/>
    <w:rsid w:val="004000E8"/>
    <w:rsid w:val="004009A1"/>
    <w:rsid w:val="00401C1F"/>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AA4"/>
    <w:rsid w:val="004242F4"/>
    <w:rsid w:val="00425660"/>
    <w:rsid w:val="00427248"/>
    <w:rsid w:val="00430426"/>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5872"/>
    <w:rsid w:val="00457565"/>
    <w:rsid w:val="00457B71"/>
    <w:rsid w:val="00460FE0"/>
    <w:rsid w:val="00462436"/>
    <w:rsid w:val="00463304"/>
    <w:rsid w:val="00463AAB"/>
    <w:rsid w:val="0046456F"/>
    <w:rsid w:val="00464689"/>
    <w:rsid w:val="00465E4C"/>
    <w:rsid w:val="00465F48"/>
    <w:rsid w:val="00466016"/>
    <w:rsid w:val="004666C4"/>
    <w:rsid w:val="004669E2"/>
    <w:rsid w:val="00467222"/>
    <w:rsid w:val="00470C31"/>
    <w:rsid w:val="00470E69"/>
    <w:rsid w:val="00471B8D"/>
    <w:rsid w:val="00471DE0"/>
    <w:rsid w:val="00472BC0"/>
    <w:rsid w:val="00472C58"/>
    <w:rsid w:val="004734D0"/>
    <w:rsid w:val="00473C53"/>
    <w:rsid w:val="00473D20"/>
    <w:rsid w:val="00473E05"/>
    <w:rsid w:val="00474198"/>
    <w:rsid w:val="0047556B"/>
    <w:rsid w:val="00475DDD"/>
    <w:rsid w:val="0047666E"/>
    <w:rsid w:val="004771CE"/>
    <w:rsid w:val="00477768"/>
    <w:rsid w:val="00477B65"/>
    <w:rsid w:val="00477D65"/>
    <w:rsid w:val="00480C4B"/>
    <w:rsid w:val="00481980"/>
    <w:rsid w:val="004861B6"/>
    <w:rsid w:val="00486679"/>
    <w:rsid w:val="004905D0"/>
    <w:rsid w:val="00491118"/>
    <w:rsid w:val="0049128F"/>
    <w:rsid w:val="00492BC5"/>
    <w:rsid w:val="00492CB9"/>
    <w:rsid w:val="0049396E"/>
    <w:rsid w:val="00493DA4"/>
    <w:rsid w:val="00494795"/>
    <w:rsid w:val="00494DC8"/>
    <w:rsid w:val="00494E08"/>
    <w:rsid w:val="004964F1"/>
    <w:rsid w:val="004A16BC"/>
    <w:rsid w:val="004A2521"/>
    <w:rsid w:val="004A2AE5"/>
    <w:rsid w:val="004A2B94"/>
    <w:rsid w:val="004A494E"/>
    <w:rsid w:val="004A6671"/>
    <w:rsid w:val="004A6875"/>
    <w:rsid w:val="004A7062"/>
    <w:rsid w:val="004A79AB"/>
    <w:rsid w:val="004A7FCA"/>
    <w:rsid w:val="004B2DDE"/>
    <w:rsid w:val="004B3799"/>
    <w:rsid w:val="004B5701"/>
    <w:rsid w:val="004B580E"/>
    <w:rsid w:val="004B5B0A"/>
    <w:rsid w:val="004B6F6A"/>
    <w:rsid w:val="004B7A1A"/>
    <w:rsid w:val="004B7C0C"/>
    <w:rsid w:val="004C3898"/>
    <w:rsid w:val="004C433F"/>
    <w:rsid w:val="004C4A87"/>
    <w:rsid w:val="004C50B9"/>
    <w:rsid w:val="004C69CB"/>
    <w:rsid w:val="004C77BA"/>
    <w:rsid w:val="004C7AB6"/>
    <w:rsid w:val="004D0735"/>
    <w:rsid w:val="004D2C97"/>
    <w:rsid w:val="004D344D"/>
    <w:rsid w:val="004D36B1"/>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6DC"/>
    <w:rsid w:val="004E5787"/>
    <w:rsid w:val="004E76F4"/>
    <w:rsid w:val="004F009A"/>
    <w:rsid w:val="004F04DF"/>
    <w:rsid w:val="004F0B4E"/>
    <w:rsid w:val="004F0B6C"/>
    <w:rsid w:val="004F1F69"/>
    <w:rsid w:val="004F1F89"/>
    <w:rsid w:val="004F2078"/>
    <w:rsid w:val="004F4562"/>
    <w:rsid w:val="004F4DA3"/>
    <w:rsid w:val="004F5A8B"/>
    <w:rsid w:val="004F5FD0"/>
    <w:rsid w:val="004F61D1"/>
    <w:rsid w:val="004F6AB0"/>
    <w:rsid w:val="004F6EB6"/>
    <w:rsid w:val="004F76F1"/>
    <w:rsid w:val="00502202"/>
    <w:rsid w:val="00502CE2"/>
    <w:rsid w:val="005033D3"/>
    <w:rsid w:val="00504FC7"/>
    <w:rsid w:val="00506557"/>
    <w:rsid w:val="0050677A"/>
    <w:rsid w:val="00507096"/>
    <w:rsid w:val="0050714F"/>
    <w:rsid w:val="00507746"/>
    <w:rsid w:val="005108D8"/>
    <w:rsid w:val="00510951"/>
    <w:rsid w:val="005116F9"/>
    <w:rsid w:val="005146D7"/>
    <w:rsid w:val="00514DC4"/>
    <w:rsid w:val="005153A7"/>
    <w:rsid w:val="00517C86"/>
    <w:rsid w:val="00520438"/>
    <w:rsid w:val="0052056C"/>
    <w:rsid w:val="00520735"/>
    <w:rsid w:val="00520851"/>
    <w:rsid w:val="005219CF"/>
    <w:rsid w:val="0052301B"/>
    <w:rsid w:val="005241F8"/>
    <w:rsid w:val="0052437D"/>
    <w:rsid w:val="00524805"/>
    <w:rsid w:val="0052578B"/>
    <w:rsid w:val="00526A4A"/>
    <w:rsid w:val="0052768D"/>
    <w:rsid w:val="00531103"/>
    <w:rsid w:val="00532CC1"/>
    <w:rsid w:val="00532FB5"/>
    <w:rsid w:val="005332C1"/>
    <w:rsid w:val="00534139"/>
    <w:rsid w:val="00534B59"/>
    <w:rsid w:val="005352FC"/>
    <w:rsid w:val="00536270"/>
    <w:rsid w:val="00536759"/>
    <w:rsid w:val="00536BB6"/>
    <w:rsid w:val="00537126"/>
    <w:rsid w:val="005371AE"/>
    <w:rsid w:val="00537203"/>
    <w:rsid w:val="005372F5"/>
    <w:rsid w:val="00537998"/>
    <w:rsid w:val="00537C62"/>
    <w:rsid w:val="00540237"/>
    <w:rsid w:val="00542873"/>
    <w:rsid w:val="00542A7C"/>
    <w:rsid w:val="005436E3"/>
    <w:rsid w:val="00543CE7"/>
    <w:rsid w:val="005441F4"/>
    <w:rsid w:val="00546227"/>
    <w:rsid w:val="00546970"/>
    <w:rsid w:val="005469D3"/>
    <w:rsid w:val="005515BC"/>
    <w:rsid w:val="005537D6"/>
    <w:rsid w:val="0055402A"/>
    <w:rsid w:val="00554469"/>
    <w:rsid w:val="00554E19"/>
    <w:rsid w:val="00557357"/>
    <w:rsid w:val="00560295"/>
    <w:rsid w:val="005603AF"/>
    <w:rsid w:val="0056121F"/>
    <w:rsid w:val="00561422"/>
    <w:rsid w:val="00561826"/>
    <w:rsid w:val="005625CE"/>
    <w:rsid w:val="00562C1D"/>
    <w:rsid w:val="00563913"/>
    <w:rsid w:val="00563962"/>
    <w:rsid w:val="005645E8"/>
    <w:rsid w:val="0056523E"/>
    <w:rsid w:val="00570A9A"/>
    <w:rsid w:val="00571FDE"/>
    <w:rsid w:val="00572186"/>
    <w:rsid w:val="00572505"/>
    <w:rsid w:val="0057463D"/>
    <w:rsid w:val="00574AB7"/>
    <w:rsid w:val="00576CDB"/>
    <w:rsid w:val="005803DF"/>
    <w:rsid w:val="00582809"/>
    <w:rsid w:val="00582BBC"/>
    <w:rsid w:val="005859D6"/>
    <w:rsid w:val="005864A9"/>
    <w:rsid w:val="0058798C"/>
    <w:rsid w:val="005900FA"/>
    <w:rsid w:val="00592807"/>
    <w:rsid w:val="005935A4"/>
    <w:rsid w:val="00593DDE"/>
    <w:rsid w:val="005948C2"/>
    <w:rsid w:val="00594BE3"/>
    <w:rsid w:val="00594E65"/>
    <w:rsid w:val="00595446"/>
    <w:rsid w:val="00595DCA"/>
    <w:rsid w:val="0059610F"/>
    <w:rsid w:val="00596B3F"/>
    <w:rsid w:val="0059779B"/>
    <w:rsid w:val="005A0D2F"/>
    <w:rsid w:val="005A0F5B"/>
    <w:rsid w:val="005A1BE5"/>
    <w:rsid w:val="005A209A"/>
    <w:rsid w:val="005A2631"/>
    <w:rsid w:val="005A3C7C"/>
    <w:rsid w:val="005A52EB"/>
    <w:rsid w:val="005A5346"/>
    <w:rsid w:val="005A5E96"/>
    <w:rsid w:val="005A6012"/>
    <w:rsid w:val="005A616C"/>
    <w:rsid w:val="005A61B3"/>
    <w:rsid w:val="005A662D"/>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3F04"/>
    <w:rsid w:val="005B6F83"/>
    <w:rsid w:val="005B7323"/>
    <w:rsid w:val="005B7DEF"/>
    <w:rsid w:val="005C158D"/>
    <w:rsid w:val="005C202F"/>
    <w:rsid w:val="005C454B"/>
    <w:rsid w:val="005C50A1"/>
    <w:rsid w:val="005C66EC"/>
    <w:rsid w:val="005C6F20"/>
    <w:rsid w:val="005C74FB"/>
    <w:rsid w:val="005C7A8B"/>
    <w:rsid w:val="005D054D"/>
    <w:rsid w:val="005D06F5"/>
    <w:rsid w:val="005D0D23"/>
    <w:rsid w:val="005D1602"/>
    <w:rsid w:val="005D18E9"/>
    <w:rsid w:val="005D2F3B"/>
    <w:rsid w:val="005D4ABD"/>
    <w:rsid w:val="005D663A"/>
    <w:rsid w:val="005E1E89"/>
    <w:rsid w:val="005E2C1F"/>
    <w:rsid w:val="005E361D"/>
    <w:rsid w:val="005E385F"/>
    <w:rsid w:val="005E4AC1"/>
    <w:rsid w:val="005E5006"/>
    <w:rsid w:val="005E5B81"/>
    <w:rsid w:val="005E66DB"/>
    <w:rsid w:val="005F150A"/>
    <w:rsid w:val="005F2CB1"/>
    <w:rsid w:val="005F3025"/>
    <w:rsid w:val="005F5CEE"/>
    <w:rsid w:val="005F618C"/>
    <w:rsid w:val="005F680E"/>
    <w:rsid w:val="005F70BD"/>
    <w:rsid w:val="005F7A00"/>
    <w:rsid w:val="006011B6"/>
    <w:rsid w:val="00601B82"/>
    <w:rsid w:val="00601BEF"/>
    <w:rsid w:val="0060283C"/>
    <w:rsid w:val="00602FE1"/>
    <w:rsid w:val="00604F14"/>
    <w:rsid w:val="00607334"/>
    <w:rsid w:val="00607CB3"/>
    <w:rsid w:val="00611B83"/>
    <w:rsid w:val="00613257"/>
    <w:rsid w:val="00615071"/>
    <w:rsid w:val="006168A7"/>
    <w:rsid w:val="00616B14"/>
    <w:rsid w:val="00616B42"/>
    <w:rsid w:val="006174E3"/>
    <w:rsid w:val="006202EE"/>
    <w:rsid w:val="00620A71"/>
    <w:rsid w:val="00620D80"/>
    <w:rsid w:val="00621C7D"/>
    <w:rsid w:val="006234A6"/>
    <w:rsid w:val="00623D2E"/>
    <w:rsid w:val="00625793"/>
    <w:rsid w:val="00625A3B"/>
    <w:rsid w:val="00627582"/>
    <w:rsid w:val="00630001"/>
    <w:rsid w:val="006311B3"/>
    <w:rsid w:val="0063284C"/>
    <w:rsid w:val="006333B4"/>
    <w:rsid w:val="00634C5F"/>
    <w:rsid w:val="0063596E"/>
    <w:rsid w:val="00636398"/>
    <w:rsid w:val="006368D3"/>
    <w:rsid w:val="006377EC"/>
    <w:rsid w:val="00640281"/>
    <w:rsid w:val="0064151F"/>
    <w:rsid w:val="00641533"/>
    <w:rsid w:val="00641A6B"/>
    <w:rsid w:val="00642015"/>
    <w:rsid w:val="0064208D"/>
    <w:rsid w:val="00642114"/>
    <w:rsid w:val="00642E12"/>
    <w:rsid w:val="00643475"/>
    <w:rsid w:val="0064396A"/>
    <w:rsid w:val="00643BA3"/>
    <w:rsid w:val="00643DDB"/>
    <w:rsid w:val="00643E95"/>
    <w:rsid w:val="0064624E"/>
    <w:rsid w:val="00650AB9"/>
    <w:rsid w:val="006534CE"/>
    <w:rsid w:val="00653DA9"/>
    <w:rsid w:val="00653F73"/>
    <w:rsid w:val="00654CAA"/>
    <w:rsid w:val="00655733"/>
    <w:rsid w:val="00655ACD"/>
    <w:rsid w:val="00655C44"/>
    <w:rsid w:val="00655EB3"/>
    <w:rsid w:val="00655EBB"/>
    <w:rsid w:val="006561C8"/>
    <w:rsid w:val="00656A19"/>
    <w:rsid w:val="00656A92"/>
    <w:rsid w:val="00656DDE"/>
    <w:rsid w:val="00657183"/>
    <w:rsid w:val="0066011D"/>
    <w:rsid w:val="006607C0"/>
    <w:rsid w:val="006613A6"/>
    <w:rsid w:val="006617FC"/>
    <w:rsid w:val="00661AB0"/>
    <w:rsid w:val="006627A2"/>
    <w:rsid w:val="00662876"/>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1EC8"/>
    <w:rsid w:val="006828CE"/>
    <w:rsid w:val="006835B2"/>
    <w:rsid w:val="00683A34"/>
    <w:rsid w:val="00683ECE"/>
    <w:rsid w:val="00683FA0"/>
    <w:rsid w:val="00685BE7"/>
    <w:rsid w:val="006865DE"/>
    <w:rsid w:val="006916EA"/>
    <w:rsid w:val="00691DBC"/>
    <w:rsid w:val="00693303"/>
    <w:rsid w:val="00693D18"/>
    <w:rsid w:val="006940AF"/>
    <w:rsid w:val="00695016"/>
    <w:rsid w:val="00695F2D"/>
    <w:rsid w:val="00695FC2"/>
    <w:rsid w:val="00696949"/>
    <w:rsid w:val="00696E40"/>
    <w:rsid w:val="00697052"/>
    <w:rsid w:val="006975C1"/>
    <w:rsid w:val="006A1959"/>
    <w:rsid w:val="006A45B1"/>
    <w:rsid w:val="006A46FB"/>
    <w:rsid w:val="006A48B3"/>
    <w:rsid w:val="006A5336"/>
    <w:rsid w:val="006A5D19"/>
    <w:rsid w:val="006A5E28"/>
    <w:rsid w:val="006A68C5"/>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4241"/>
    <w:rsid w:val="006C4F4B"/>
    <w:rsid w:val="006C5EC9"/>
    <w:rsid w:val="006C6059"/>
    <w:rsid w:val="006C6349"/>
    <w:rsid w:val="006C7522"/>
    <w:rsid w:val="006D0874"/>
    <w:rsid w:val="006D0C44"/>
    <w:rsid w:val="006D178A"/>
    <w:rsid w:val="006D2C67"/>
    <w:rsid w:val="006D3CAD"/>
    <w:rsid w:val="006D51C7"/>
    <w:rsid w:val="006D5BE6"/>
    <w:rsid w:val="006D6F08"/>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E8E"/>
    <w:rsid w:val="006F341D"/>
    <w:rsid w:val="006F3549"/>
    <w:rsid w:val="006F3CDE"/>
    <w:rsid w:val="006F58D4"/>
    <w:rsid w:val="006F6450"/>
    <w:rsid w:val="006F6582"/>
    <w:rsid w:val="006F6793"/>
    <w:rsid w:val="00700428"/>
    <w:rsid w:val="0070058E"/>
    <w:rsid w:val="00701C3D"/>
    <w:rsid w:val="00703076"/>
    <w:rsid w:val="0070346E"/>
    <w:rsid w:val="00703802"/>
    <w:rsid w:val="00704A7A"/>
    <w:rsid w:val="00704B1F"/>
    <w:rsid w:val="00704EDB"/>
    <w:rsid w:val="007058A1"/>
    <w:rsid w:val="00706101"/>
    <w:rsid w:val="00707072"/>
    <w:rsid w:val="00707D61"/>
    <w:rsid w:val="00712287"/>
    <w:rsid w:val="00712772"/>
    <w:rsid w:val="00713286"/>
    <w:rsid w:val="00713303"/>
    <w:rsid w:val="007148D3"/>
    <w:rsid w:val="00715B9A"/>
    <w:rsid w:val="00715F10"/>
    <w:rsid w:val="007167EA"/>
    <w:rsid w:val="0071705B"/>
    <w:rsid w:val="00717B89"/>
    <w:rsid w:val="00720C6E"/>
    <w:rsid w:val="00721B32"/>
    <w:rsid w:val="007239BD"/>
    <w:rsid w:val="007240A3"/>
    <w:rsid w:val="00725257"/>
    <w:rsid w:val="007257D0"/>
    <w:rsid w:val="00726EA6"/>
    <w:rsid w:val="00727208"/>
    <w:rsid w:val="00727680"/>
    <w:rsid w:val="00727CB1"/>
    <w:rsid w:val="00730FE5"/>
    <w:rsid w:val="00731F85"/>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3392"/>
    <w:rsid w:val="00753950"/>
    <w:rsid w:val="007543B9"/>
    <w:rsid w:val="00754B53"/>
    <w:rsid w:val="007558C4"/>
    <w:rsid w:val="007571E1"/>
    <w:rsid w:val="007604B2"/>
    <w:rsid w:val="00761B40"/>
    <w:rsid w:val="00762574"/>
    <w:rsid w:val="007626EB"/>
    <w:rsid w:val="00762B6C"/>
    <w:rsid w:val="00764517"/>
    <w:rsid w:val="00764AF2"/>
    <w:rsid w:val="00765281"/>
    <w:rsid w:val="00765CBC"/>
    <w:rsid w:val="00765DEA"/>
    <w:rsid w:val="00766BA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271"/>
    <w:rsid w:val="00785490"/>
    <w:rsid w:val="007875A7"/>
    <w:rsid w:val="007909FE"/>
    <w:rsid w:val="007913C4"/>
    <w:rsid w:val="007917A9"/>
    <w:rsid w:val="007925EA"/>
    <w:rsid w:val="00793893"/>
    <w:rsid w:val="00793CD8"/>
    <w:rsid w:val="00794F29"/>
    <w:rsid w:val="00795C92"/>
    <w:rsid w:val="00796231"/>
    <w:rsid w:val="00796273"/>
    <w:rsid w:val="00796F5E"/>
    <w:rsid w:val="007A1CB3"/>
    <w:rsid w:val="007A29F6"/>
    <w:rsid w:val="007A306F"/>
    <w:rsid w:val="007A43A6"/>
    <w:rsid w:val="007A44B6"/>
    <w:rsid w:val="007A5119"/>
    <w:rsid w:val="007A58A6"/>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43DB"/>
    <w:rsid w:val="007D4E53"/>
    <w:rsid w:val="007D5901"/>
    <w:rsid w:val="007D6BC7"/>
    <w:rsid w:val="007D6D5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90"/>
    <w:rsid w:val="00801850"/>
    <w:rsid w:val="00801C30"/>
    <w:rsid w:val="008020BF"/>
    <w:rsid w:val="0080218E"/>
    <w:rsid w:val="008026EC"/>
    <w:rsid w:val="008037ED"/>
    <w:rsid w:val="00803FAE"/>
    <w:rsid w:val="00804323"/>
    <w:rsid w:val="00805298"/>
    <w:rsid w:val="008058F7"/>
    <w:rsid w:val="0080605F"/>
    <w:rsid w:val="00807786"/>
    <w:rsid w:val="0081066E"/>
    <w:rsid w:val="00810C1F"/>
    <w:rsid w:val="00811FCB"/>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AB4"/>
    <w:rsid w:val="00824B6C"/>
    <w:rsid w:val="00825A9A"/>
    <w:rsid w:val="00825C42"/>
    <w:rsid w:val="00825D25"/>
    <w:rsid w:val="00827510"/>
    <w:rsid w:val="00827C1A"/>
    <w:rsid w:val="00827D6F"/>
    <w:rsid w:val="00831FD8"/>
    <w:rsid w:val="008324AA"/>
    <w:rsid w:val="00832CFE"/>
    <w:rsid w:val="0083387D"/>
    <w:rsid w:val="00834A09"/>
    <w:rsid w:val="00834D20"/>
    <w:rsid w:val="00835D4A"/>
    <w:rsid w:val="00836392"/>
    <w:rsid w:val="008376AC"/>
    <w:rsid w:val="00837911"/>
    <w:rsid w:val="00837D6B"/>
    <w:rsid w:val="0084162C"/>
    <w:rsid w:val="00843DA7"/>
    <w:rsid w:val="00843E5F"/>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2E0A"/>
    <w:rsid w:val="008634CA"/>
    <w:rsid w:val="00863C0D"/>
    <w:rsid w:val="008649A5"/>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6F6C"/>
    <w:rsid w:val="00877F18"/>
    <w:rsid w:val="00877F48"/>
    <w:rsid w:val="00882189"/>
    <w:rsid w:val="00887433"/>
    <w:rsid w:val="008911B8"/>
    <w:rsid w:val="008914F4"/>
    <w:rsid w:val="00892448"/>
    <w:rsid w:val="00892FE8"/>
    <w:rsid w:val="00893935"/>
    <w:rsid w:val="00893D4C"/>
    <w:rsid w:val="008941E3"/>
    <w:rsid w:val="00894A88"/>
    <w:rsid w:val="00895386"/>
    <w:rsid w:val="0089752D"/>
    <w:rsid w:val="008976B0"/>
    <w:rsid w:val="008A0AAC"/>
    <w:rsid w:val="008A21FF"/>
    <w:rsid w:val="008A2CE2"/>
    <w:rsid w:val="008A30AC"/>
    <w:rsid w:val="008A32E3"/>
    <w:rsid w:val="008A3EDE"/>
    <w:rsid w:val="008A44B8"/>
    <w:rsid w:val="008A4A1F"/>
    <w:rsid w:val="008A4AF8"/>
    <w:rsid w:val="008A51A8"/>
    <w:rsid w:val="008A54C7"/>
    <w:rsid w:val="008A60EE"/>
    <w:rsid w:val="008A6677"/>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34F1"/>
    <w:rsid w:val="008D39D8"/>
    <w:rsid w:val="008D3E69"/>
    <w:rsid w:val="008D57F8"/>
    <w:rsid w:val="008D6D1A"/>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1BD9"/>
    <w:rsid w:val="00931C30"/>
    <w:rsid w:val="00933097"/>
    <w:rsid w:val="00934411"/>
    <w:rsid w:val="00935192"/>
    <w:rsid w:val="00935496"/>
    <w:rsid w:val="00936113"/>
    <w:rsid w:val="009368F3"/>
    <w:rsid w:val="00936C46"/>
    <w:rsid w:val="00937239"/>
    <w:rsid w:val="00937419"/>
    <w:rsid w:val="00937A89"/>
    <w:rsid w:val="00941636"/>
    <w:rsid w:val="0094184C"/>
    <w:rsid w:val="00941A6D"/>
    <w:rsid w:val="00943742"/>
    <w:rsid w:val="00944665"/>
    <w:rsid w:val="009447E4"/>
    <w:rsid w:val="00945035"/>
    <w:rsid w:val="009453ED"/>
    <w:rsid w:val="00945C05"/>
    <w:rsid w:val="00945DF0"/>
    <w:rsid w:val="00946945"/>
    <w:rsid w:val="00947713"/>
    <w:rsid w:val="009500A2"/>
    <w:rsid w:val="00950B3A"/>
    <w:rsid w:val="00950B57"/>
    <w:rsid w:val="00950DE7"/>
    <w:rsid w:val="00951DCC"/>
    <w:rsid w:val="00953920"/>
    <w:rsid w:val="00953A56"/>
    <w:rsid w:val="00953D47"/>
    <w:rsid w:val="00954124"/>
    <w:rsid w:val="00955EDE"/>
    <w:rsid w:val="00956628"/>
    <w:rsid w:val="0095681E"/>
    <w:rsid w:val="00957191"/>
    <w:rsid w:val="009572D4"/>
    <w:rsid w:val="0096128E"/>
    <w:rsid w:val="00961921"/>
    <w:rsid w:val="009627D6"/>
    <w:rsid w:val="009633D6"/>
    <w:rsid w:val="00963C85"/>
    <w:rsid w:val="0096430A"/>
    <w:rsid w:val="009647EF"/>
    <w:rsid w:val="0096554B"/>
    <w:rsid w:val="009655C6"/>
    <w:rsid w:val="0096584A"/>
    <w:rsid w:val="009677AE"/>
    <w:rsid w:val="00967A0A"/>
    <w:rsid w:val="00967FB8"/>
    <w:rsid w:val="00971ED5"/>
    <w:rsid w:val="00971F08"/>
    <w:rsid w:val="00972367"/>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E3C"/>
    <w:rsid w:val="00985253"/>
    <w:rsid w:val="009853B3"/>
    <w:rsid w:val="009854BB"/>
    <w:rsid w:val="00986BE6"/>
    <w:rsid w:val="00990630"/>
    <w:rsid w:val="009908C9"/>
    <w:rsid w:val="00991171"/>
    <w:rsid w:val="00991728"/>
    <w:rsid w:val="00991761"/>
    <w:rsid w:val="00992158"/>
    <w:rsid w:val="00992EA8"/>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3BB6"/>
    <w:rsid w:val="009A441D"/>
    <w:rsid w:val="009A462D"/>
    <w:rsid w:val="009A4A85"/>
    <w:rsid w:val="009A5CBA"/>
    <w:rsid w:val="009A64D7"/>
    <w:rsid w:val="009B159F"/>
    <w:rsid w:val="009B1F2C"/>
    <w:rsid w:val="009B1F30"/>
    <w:rsid w:val="009B2B63"/>
    <w:rsid w:val="009B31C0"/>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62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F08F3"/>
    <w:rsid w:val="009F1E19"/>
    <w:rsid w:val="009F344F"/>
    <w:rsid w:val="009F4F6E"/>
    <w:rsid w:val="009F5FB3"/>
    <w:rsid w:val="009F783F"/>
    <w:rsid w:val="00A00D9E"/>
    <w:rsid w:val="00A00EE6"/>
    <w:rsid w:val="00A0184F"/>
    <w:rsid w:val="00A031D8"/>
    <w:rsid w:val="00A04590"/>
    <w:rsid w:val="00A048A8"/>
    <w:rsid w:val="00A04F49"/>
    <w:rsid w:val="00A055AC"/>
    <w:rsid w:val="00A06299"/>
    <w:rsid w:val="00A07589"/>
    <w:rsid w:val="00A10B48"/>
    <w:rsid w:val="00A10EB9"/>
    <w:rsid w:val="00A13989"/>
    <w:rsid w:val="00A13D54"/>
    <w:rsid w:val="00A13E54"/>
    <w:rsid w:val="00A1438F"/>
    <w:rsid w:val="00A15FA3"/>
    <w:rsid w:val="00A1718A"/>
    <w:rsid w:val="00A17F63"/>
    <w:rsid w:val="00A214C7"/>
    <w:rsid w:val="00A2193B"/>
    <w:rsid w:val="00A2351A"/>
    <w:rsid w:val="00A240AA"/>
    <w:rsid w:val="00A24E87"/>
    <w:rsid w:val="00A25AAD"/>
    <w:rsid w:val="00A264A9"/>
    <w:rsid w:val="00A26DCF"/>
    <w:rsid w:val="00A27785"/>
    <w:rsid w:val="00A30187"/>
    <w:rsid w:val="00A32BE3"/>
    <w:rsid w:val="00A32FC1"/>
    <w:rsid w:val="00A3448A"/>
    <w:rsid w:val="00A34551"/>
    <w:rsid w:val="00A36297"/>
    <w:rsid w:val="00A37991"/>
    <w:rsid w:val="00A37D9C"/>
    <w:rsid w:val="00A41359"/>
    <w:rsid w:val="00A4181F"/>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30CA"/>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9103F"/>
    <w:rsid w:val="00A9244C"/>
    <w:rsid w:val="00A92796"/>
    <w:rsid w:val="00A92879"/>
    <w:rsid w:val="00A9442A"/>
    <w:rsid w:val="00A955F1"/>
    <w:rsid w:val="00A96B75"/>
    <w:rsid w:val="00AA016F"/>
    <w:rsid w:val="00AA13AB"/>
    <w:rsid w:val="00AA192D"/>
    <w:rsid w:val="00AA1ED6"/>
    <w:rsid w:val="00AA24BA"/>
    <w:rsid w:val="00AA3E67"/>
    <w:rsid w:val="00AA4D90"/>
    <w:rsid w:val="00AA4E4E"/>
    <w:rsid w:val="00AA51D6"/>
    <w:rsid w:val="00AA54BE"/>
    <w:rsid w:val="00AA63E4"/>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31C"/>
    <w:rsid w:val="00AD4A5A"/>
    <w:rsid w:val="00AD6D17"/>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56B6"/>
    <w:rsid w:val="00AE758D"/>
    <w:rsid w:val="00AF1C5D"/>
    <w:rsid w:val="00AF231E"/>
    <w:rsid w:val="00AF2D76"/>
    <w:rsid w:val="00AF42D7"/>
    <w:rsid w:val="00AF4E80"/>
    <w:rsid w:val="00AF5CF6"/>
    <w:rsid w:val="00AF645A"/>
    <w:rsid w:val="00AF79F8"/>
    <w:rsid w:val="00B006FE"/>
    <w:rsid w:val="00B007CB"/>
    <w:rsid w:val="00B02AA9"/>
    <w:rsid w:val="00B02FA3"/>
    <w:rsid w:val="00B040D7"/>
    <w:rsid w:val="00B05084"/>
    <w:rsid w:val="00B06E0C"/>
    <w:rsid w:val="00B07933"/>
    <w:rsid w:val="00B11A2E"/>
    <w:rsid w:val="00B12137"/>
    <w:rsid w:val="00B12619"/>
    <w:rsid w:val="00B13BA0"/>
    <w:rsid w:val="00B154CB"/>
    <w:rsid w:val="00B157F9"/>
    <w:rsid w:val="00B16438"/>
    <w:rsid w:val="00B20256"/>
    <w:rsid w:val="00B20972"/>
    <w:rsid w:val="00B20D09"/>
    <w:rsid w:val="00B21AE5"/>
    <w:rsid w:val="00B222BF"/>
    <w:rsid w:val="00B245C8"/>
    <w:rsid w:val="00B266E5"/>
    <w:rsid w:val="00B27047"/>
    <w:rsid w:val="00B27345"/>
    <w:rsid w:val="00B2763F"/>
    <w:rsid w:val="00B27AAC"/>
    <w:rsid w:val="00B30929"/>
    <w:rsid w:val="00B32CEA"/>
    <w:rsid w:val="00B332A9"/>
    <w:rsid w:val="00B33AD3"/>
    <w:rsid w:val="00B353FC"/>
    <w:rsid w:val="00B3586C"/>
    <w:rsid w:val="00B35FC1"/>
    <w:rsid w:val="00B36D4D"/>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64C7"/>
    <w:rsid w:val="00B66CF2"/>
    <w:rsid w:val="00B67244"/>
    <w:rsid w:val="00B713D8"/>
    <w:rsid w:val="00B723F6"/>
    <w:rsid w:val="00B72A1A"/>
    <w:rsid w:val="00B72DDD"/>
    <w:rsid w:val="00B739F6"/>
    <w:rsid w:val="00B76838"/>
    <w:rsid w:val="00B76A26"/>
    <w:rsid w:val="00B76A4A"/>
    <w:rsid w:val="00B76E09"/>
    <w:rsid w:val="00B771EF"/>
    <w:rsid w:val="00B77284"/>
    <w:rsid w:val="00B8010A"/>
    <w:rsid w:val="00B81A6C"/>
    <w:rsid w:val="00B81D84"/>
    <w:rsid w:val="00B81E44"/>
    <w:rsid w:val="00B8279D"/>
    <w:rsid w:val="00B8413B"/>
    <w:rsid w:val="00B85DE5"/>
    <w:rsid w:val="00B86AE6"/>
    <w:rsid w:val="00B90F73"/>
    <w:rsid w:val="00B90FF7"/>
    <w:rsid w:val="00B93B59"/>
    <w:rsid w:val="00B9406A"/>
    <w:rsid w:val="00B943B5"/>
    <w:rsid w:val="00B94EB4"/>
    <w:rsid w:val="00B9642F"/>
    <w:rsid w:val="00B96AD0"/>
    <w:rsid w:val="00BA04EB"/>
    <w:rsid w:val="00BA198A"/>
    <w:rsid w:val="00BA2280"/>
    <w:rsid w:val="00BA253D"/>
    <w:rsid w:val="00BA28B4"/>
    <w:rsid w:val="00BA2A08"/>
    <w:rsid w:val="00BA3159"/>
    <w:rsid w:val="00BA49A5"/>
    <w:rsid w:val="00BA56D2"/>
    <w:rsid w:val="00BA6447"/>
    <w:rsid w:val="00BA76E0"/>
    <w:rsid w:val="00BA78F4"/>
    <w:rsid w:val="00BB034D"/>
    <w:rsid w:val="00BB20C0"/>
    <w:rsid w:val="00BB2A25"/>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87B"/>
    <w:rsid w:val="00BC43C4"/>
    <w:rsid w:val="00BC4D2E"/>
    <w:rsid w:val="00BC7A99"/>
    <w:rsid w:val="00BD01ED"/>
    <w:rsid w:val="00BD060A"/>
    <w:rsid w:val="00BD0966"/>
    <w:rsid w:val="00BD283B"/>
    <w:rsid w:val="00BD3217"/>
    <w:rsid w:val="00BD48AC"/>
    <w:rsid w:val="00BD4AD1"/>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F1DE3"/>
    <w:rsid w:val="00BF24F4"/>
    <w:rsid w:val="00BF3279"/>
    <w:rsid w:val="00BF3B54"/>
    <w:rsid w:val="00BF40B0"/>
    <w:rsid w:val="00BF4575"/>
    <w:rsid w:val="00BF6940"/>
    <w:rsid w:val="00BF6CD2"/>
    <w:rsid w:val="00BF74C7"/>
    <w:rsid w:val="00C011F0"/>
    <w:rsid w:val="00C015F1"/>
    <w:rsid w:val="00C01F33"/>
    <w:rsid w:val="00C02CC6"/>
    <w:rsid w:val="00C0389B"/>
    <w:rsid w:val="00C040F7"/>
    <w:rsid w:val="00C044AB"/>
    <w:rsid w:val="00C04E89"/>
    <w:rsid w:val="00C0553E"/>
    <w:rsid w:val="00C05706"/>
    <w:rsid w:val="00C058D5"/>
    <w:rsid w:val="00C07377"/>
    <w:rsid w:val="00C0767E"/>
    <w:rsid w:val="00C10326"/>
    <w:rsid w:val="00C10478"/>
    <w:rsid w:val="00C10F74"/>
    <w:rsid w:val="00C11271"/>
    <w:rsid w:val="00C114F3"/>
    <w:rsid w:val="00C12084"/>
    <w:rsid w:val="00C12107"/>
    <w:rsid w:val="00C12B51"/>
    <w:rsid w:val="00C13B07"/>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5E13"/>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616"/>
    <w:rsid w:val="00C42007"/>
    <w:rsid w:val="00C43684"/>
    <w:rsid w:val="00C43D9D"/>
    <w:rsid w:val="00C448BA"/>
    <w:rsid w:val="00C470C0"/>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77C33"/>
    <w:rsid w:val="00C81568"/>
    <w:rsid w:val="00C815B1"/>
    <w:rsid w:val="00C86D3F"/>
    <w:rsid w:val="00C871FF"/>
    <w:rsid w:val="00C87DDB"/>
    <w:rsid w:val="00C87FC8"/>
    <w:rsid w:val="00C9027A"/>
    <w:rsid w:val="00C9068E"/>
    <w:rsid w:val="00C90A93"/>
    <w:rsid w:val="00C919A1"/>
    <w:rsid w:val="00C92608"/>
    <w:rsid w:val="00C93530"/>
    <w:rsid w:val="00C93814"/>
    <w:rsid w:val="00C93C4B"/>
    <w:rsid w:val="00C944AB"/>
    <w:rsid w:val="00C94725"/>
    <w:rsid w:val="00C95B40"/>
    <w:rsid w:val="00C961DE"/>
    <w:rsid w:val="00C96B3C"/>
    <w:rsid w:val="00C9735C"/>
    <w:rsid w:val="00CA0F13"/>
    <w:rsid w:val="00CA1ED8"/>
    <w:rsid w:val="00CA41B5"/>
    <w:rsid w:val="00CA435C"/>
    <w:rsid w:val="00CA4366"/>
    <w:rsid w:val="00CA4E7A"/>
    <w:rsid w:val="00CB1055"/>
    <w:rsid w:val="00CB1061"/>
    <w:rsid w:val="00CB1986"/>
    <w:rsid w:val="00CB1F63"/>
    <w:rsid w:val="00CB5407"/>
    <w:rsid w:val="00CB5AFC"/>
    <w:rsid w:val="00CB6AE3"/>
    <w:rsid w:val="00CB7170"/>
    <w:rsid w:val="00CC040E"/>
    <w:rsid w:val="00CC096E"/>
    <w:rsid w:val="00CC111F"/>
    <w:rsid w:val="00CC2011"/>
    <w:rsid w:val="00CC212D"/>
    <w:rsid w:val="00CC3EA0"/>
    <w:rsid w:val="00CC3F42"/>
    <w:rsid w:val="00CC7248"/>
    <w:rsid w:val="00CC758E"/>
    <w:rsid w:val="00CC7B45"/>
    <w:rsid w:val="00CD00A0"/>
    <w:rsid w:val="00CD0B52"/>
    <w:rsid w:val="00CD1188"/>
    <w:rsid w:val="00CD2ED1"/>
    <w:rsid w:val="00CD337B"/>
    <w:rsid w:val="00CD5D47"/>
    <w:rsid w:val="00CE0424"/>
    <w:rsid w:val="00CE0C7E"/>
    <w:rsid w:val="00CE0D88"/>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1C3"/>
    <w:rsid w:val="00D1335E"/>
    <w:rsid w:val="00D13E4E"/>
    <w:rsid w:val="00D14211"/>
    <w:rsid w:val="00D15575"/>
    <w:rsid w:val="00D214D9"/>
    <w:rsid w:val="00D2335D"/>
    <w:rsid w:val="00D237EC"/>
    <w:rsid w:val="00D239A7"/>
    <w:rsid w:val="00D23F47"/>
    <w:rsid w:val="00D240DC"/>
    <w:rsid w:val="00D27A37"/>
    <w:rsid w:val="00D27B3B"/>
    <w:rsid w:val="00D31200"/>
    <w:rsid w:val="00D32406"/>
    <w:rsid w:val="00D326E7"/>
    <w:rsid w:val="00D36E71"/>
    <w:rsid w:val="00D375F0"/>
    <w:rsid w:val="00D37D87"/>
    <w:rsid w:val="00D4066C"/>
    <w:rsid w:val="00D4079A"/>
    <w:rsid w:val="00D40B33"/>
    <w:rsid w:val="00D40F82"/>
    <w:rsid w:val="00D4268C"/>
    <w:rsid w:val="00D426F1"/>
    <w:rsid w:val="00D4318F"/>
    <w:rsid w:val="00D436EF"/>
    <w:rsid w:val="00D438BF"/>
    <w:rsid w:val="00D43C28"/>
    <w:rsid w:val="00D440F8"/>
    <w:rsid w:val="00D44AEA"/>
    <w:rsid w:val="00D45696"/>
    <w:rsid w:val="00D45D87"/>
    <w:rsid w:val="00D475F9"/>
    <w:rsid w:val="00D47A36"/>
    <w:rsid w:val="00D47C49"/>
    <w:rsid w:val="00D511B1"/>
    <w:rsid w:val="00D534DF"/>
    <w:rsid w:val="00D5429D"/>
    <w:rsid w:val="00D546FF"/>
    <w:rsid w:val="00D55AD5"/>
    <w:rsid w:val="00D56406"/>
    <w:rsid w:val="00D5677E"/>
    <w:rsid w:val="00D56A10"/>
    <w:rsid w:val="00D572D8"/>
    <w:rsid w:val="00D576CA"/>
    <w:rsid w:val="00D605BC"/>
    <w:rsid w:val="00D61AF5"/>
    <w:rsid w:val="00D62D94"/>
    <w:rsid w:val="00D63E11"/>
    <w:rsid w:val="00D64C86"/>
    <w:rsid w:val="00D652B5"/>
    <w:rsid w:val="00D66155"/>
    <w:rsid w:val="00D6675C"/>
    <w:rsid w:val="00D670BB"/>
    <w:rsid w:val="00D708B0"/>
    <w:rsid w:val="00D72608"/>
    <w:rsid w:val="00D72C8C"/>
    <w:rsid w:val="00D75492"/>
    <w:rsid w:val="00D75A1F"/>
    <w:rsid w:val="00D77B1D"/>
    <w:rsid w:val="00D8021F"/>
    <w:rsid w:val="00D80383"/>
    <w:rsid w:val="00D8040E"/>
    <w:rsid w:val="00D80512"/>
    <w:rsid w:val="00D80A5D"/>
    <w:rsid w:val="00D80BC1"/>
    <w:rsid w:val="00D823C6"/>
    <w:rsid w:val="00D827AD"/>
    <w:rsid w:val="00D82BA8"/>
    <w:rsid w:val="00D8327F"/>
    <w:rsid w:val="00D83D0D"/>
    <w:rsid w:val="00D8412F"/>
    <w:rsid w:val="00D84B3F"/>
    <w:rsid w:val="00D86305"/>
    <w:rsid w:val="00D86C81"/>
    <w:rsid w:val="00D86CA3"/>
    <w:rsid w:val="00D871CE"/>
    <w:rsid w:val="00D87826"/>
    <w:rsid w:val="00D9196D"/>
    <w:rsid w:val="00D923BE"/>
    <w:rsid w:val="00D92982"/>
    <w:rsid w:val="00D92D10"/>
    <w:rsid w:val="00D93DDD"/>
    <w:rsid w:val="00D95E8F"/>
    <w:rsid w:val="00D96D9B"/>
    <w:rsid w:val="00D9751F"/>
    <w:rsid w:val="00DA0782"/>
    <w:rsid w:val="00DA1E03"/>
    <w:rsid w:val="00DA305E"/>
    <w:rsid w:val="00DA4165"/>
    <w:rsid w:val="00DA49A1"/>
    <w:rsid w:val="00DA4CAF"/>
    <w:rsid w:val="00DA5417"/>
    <w:rsid w:val="00DA55AA"/>
    <w:rsid w:val="00DA56E8"/>
    <w:rsid w:val="00DA6029"/>
    <w:rsid w:val="00DA6D0E"/>
    <w:rsid w:val="00DA7A23"/>
    <w:rsid w:val="00DB0A9F"/>
    <w:rsid w:val="00DB13C4"/>
    <w:rsid w:val="00DB1E58"/>
    <w:rsid w:val="00DB2DD2"/>
    <w:rsid w:val="00DB377D"/>
    <w:rsid w:val="00DB3EE3"/>
    <w:rsid w:val="00DB61DB"/>
    <w:rsid w:val="00DB62BF"/>
    <w:rsid w:val="00DB7BDC"/>
    <w:rsid w:val="00DC0A36"/>
    <w:rsid w:val="00DC0EE8"/>
    <w:rsid w:val="00DC0FF1"/>
    <w:rsid w:val="00DC2D36"/>
    <w:rsid w:val="00DC53EF"/>
    <w:rsid w:val="00DD2253"/>
    <w:rsid w:val="00DD2265"/>
    <w:rsid w:val="00DD244D"/>
    <w:rsid w:val="00DD4398"/>
    <w:rsid w:val="00DD4B21"/>
    <w:rsid w:val="00DD4E7C"/>
    <w:rsid w:val="00DD4FE9"/>
    <w:rsid w:val="00DD56FB"/>
    <w:rsid w:val="00DD64C8"/>
    <w:rsid w:val="00DD7333"/>
    <w:rsid w:val="00DD7789"/>
    <w:rsid w:val="00DD7C03"/>
    <w:rsid w:val="00DD7D20"/>
    <w:rsid w:val="00DE3758"/>
    <w:rsid w:val="00DE3898"/>
    <w:rsid w:val="00DE39D9"/>
    <w:rsid w:val="00DE423A"/>
    <w:rsid w:val="00DE5608"/>
    <w:rsid w:val="00DE58D0"/>
    <w:rsid w:val="00DE654F"/>
    <w:rsid w:val="00DE78F0"/>
    <w:rsid w:val="00DE7B7A"/>
    <w:rsid w:val="00DF0B6E"/>
    <w:rsid w:val="00DF15E0"/>
    <w:rsid w:val="00DF2A47"/>
    <w:rsid w:val="00DF37A0"/>
    <w:rsid w:val="00DF3F13"/>
    <w:rsid w:val="00DF50C7"/>
    <w:rsid w:val="00DF572A"/>
    <w:rsid w:val="00DF6609"/>
    <w:rsid w:val="00DF69B7"/>
    <w:rsid w:val="00DF7F73"/>
    <w:rsid w:val="00E00861"/>
    <w:rsid w:val="00E02161"/>
    <w:rsid w:val="00E030A0"/>
    <w:rsid w:val="00E03732"/>
    <w:rsid w:val="00E03A58"/>
    <w:rsid w:val="00E042BF"/>
    <w:rsid w:val="00E0468E"/>
    <w:rsid w:val="00E053C9"/>
    <w:rsid w:val="00E0547D"/>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1E79"/>
    <w:rsid w:val="00E22330"/>
    <w:rsid w:val="00E224BF"/>
    <w:rsid w:val="00E2429E"/>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E3B"/>
    <w:rsid w:val="00E55968"/>
    <w:rsid w:val="00E56928"/>
    <w:rsid w:val="00E57565"/>
    <w:rsid w:val="00E60D43"/>
    <w:rsid w:val="00E63838"/>
    <w:rsid w:val="00E63A32"/>
    <w:rsid w:val="00E64434"/>
    <w:rsid w:val="00E64EEB"/>
    <w:rsid w:val="00E65A7D"/>
    <w:rsid w:val="00E66171"/>
    <w:rsid w:val="00E66621"/>
    <w:rsid w:val="00E67C51"/>
    <w:rsid w:val="00E713E4"/>
    <w:rsid w:val="00E72266"/>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46"/>
    <w:rsid w:val="00EB077B"/>
    <w:rsid w:val="00EB118B"/>
    <w:rsid w:val="00EB1665"/>
    <w:rsid w:val="00EB2706"/>
    <w:rsid w:val="00EB2D89"/>
    <w:rsid w:val="00EB4EA2"/>
    <w:rsid w:val="00EB66C2"/>
    <w:rsid w:val="00EB6CED"/>
    <w:rsid w:val="00EB7DC9"/>
    <w:rsid w:val="00EC0082"/>
    <w:rsid w:val="00EC039F"/>
    <w:rsid w:val="00EC19F9"/>
    <w:rsid w:val="00EC24D5"/>
    <w:rsid w:val="00EC2689"/>
    <w:rsid w:val="00EC27C6"/>
    <w:rsid w:val="00EC2AC8"/>
    <w:rsid w:val="00EC4207"/>
    <w:rsid w:val="00EC500E"/>
    <w:rsid w:val="00EC5653"/>
    <w:rsid w:val="00EC5E4B"/>
    <w:rsid w:val="00EC5F72"/>
    <w:rsid w:val="00EC648A"/>
    <w:rsid w:val="00EC71CE"/>
    <w:rsid w:val="00EC7A1A"/>
    <w:rsid w:val="00ED0ADD"/>
    <w:rsid w:val="00ED1006"/>
    <w:rsid w:val="00ED241B"/>
    <w:rsid w:val="00ED3FF9"/>
    <w:rsid w:val="00ED4653"/>
    <w:rsid w:val="00ED4EDB"/>
    <w:rsid w:val="00ED55D3"/>
    <w:rsid w:val="00ED6E4D"/>
    <w:rsid w:val="00ED7222"/>
    <w:rsid w:val="00ED79C1"/>
    <w:rsid w:val="00EE081E"/>
    <w:rsid w:val="00EE2165"/>
    <w:rsid w:val="00EE2E34"/>
    <w:rsid w:val="00EE3A61"/>
    <w:rsid w:val="00EE5D2B"/>
    <w:rsid w:val="00EE7492"/>
    <w:rsid w:val="00EE7958"/>
    <w:rsid w:val="00EE7CCD"/>
    <w:rsid w:val="00EF18FE"/>
    <w:rsid w:val="00EF272F"/>
    <w:rsid w:val="00EF5787"/>
    <w:rsid w:val="00EF5DD7"/>
    <w:rsid w:val="00EF60D0"/>
    <w:rsid w:val="00EF735D"/>
    <w:rsid w:val="00F01AB7"/>
    <w:rsid w:val="00F02BB9"/>
    <w:rsid w:val="00F04C1F"/>
    <w:rsid w:val="00F0528D"/>
    <w:rsid w:val="00F06904"/>
    <w:rsid w:val="00F06C67"/>
    <w:rsid w:val="00F06DFD"/>
    <w:rsid w:val="00F071D1"/>
    <w:rsid w:val="00F07533"/>
    <w:rsid w:val="00F10629"/>
    <w:rsid w:val="00F1178C"/>
    <w:rsid w:val="00F11CF5"/>
    <w:rsid w:val="00F129BB"/>
    <w:rsid w:val="00F13C62"/>
    <w:rsid w:val="00F15683"/>
    <w:rsid w:val="00F15FA5"/>
    <w:rsid w:val="00F17693"/>
    <w:rsid w:val="00F2064F"/>
    <w:rsid w:val="00F209B7"/>
    <w:rsid w:val="00F2376F"/>
    <w:rsid w:val="00F243D8"/>
    <w:rsid w:val="00F2505D"/>
    <w:rsid w:val="00F26C8C"/>
    <w:rsid w:val="00F27D66"/>
    <w:rsid w:val="00F30828"/>
    <w:rsid w:val="00F313D6"/>
    <w:rsid w:val="00F32260"/>
    <w:rsid w:val="00F34F5A"/>
    <w:rsid w:val="00F3523A"/>
    <w:rsid w:val="00F37575"/>
    <w:rsid w:val="00F40F0C"/>
    <w:rsid w:val="00F416CA"/>
    <w:rsid w:val="00F41D81"/>
    <w:rsid w:val="00F41F88"/>
    <w:rsid w:val="00F42C15"/>
    <w:rsid w:val="00F457C5"/>
    <w:rsid w:val="00F46695"/>
    <w:rsid w:val="00F4766C"/>
    <w:rsid w:val="00F47FA2"/>
    <w:rsid w:val="00F5060E"/>
    <w:rsid w:val="00F507D1"/>
    <w:rsid w:val="00F51895"/>
    <w:rsid w:val="00F519CE"/>
    <w:rsid w:val="00F51ADA"/>
    <w:rsid w:val="00F5208F"/>
    <w:rsid w:val="00F529FA"/>
    <w:rsid w:val="00F52E73"/>
    <w:rsid w:val="00F53E76"/>
    <w:rsid w:val="00F54355"/>
    <w:rsid w:val="00F543CE"/>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70E"/>
    <w:rsid w:val="00F71F69"/>
    <w:rsid w:val="00F72B72"/>
    <w:rsid w:val="00F7395E"/>
    <w:rsid w:val="00F73B56"/>
    <w:rsid w:val="00F74BB9"/>
    <w:rsid w:val="00F74CA7"/>
    <w:rsid w:val="00F75582"/>
    <w:rsid w:val="00F762AE"/>
    <w:rsid w:val="00F763B3"/>
    <w:rsid w:val="00F76EFA"/>
    <w:rsid w:val="00F80239"/>
    <w:rsid w:val="00F803DB"/>
    <w:rsid w:val="00F804BE"/>
    <w:rsid w:val="00F817CE"/>
    <w:rsid w:val="00F8456C"/>
    <w:rsid w:val="00F859D8"/>
    <w:rsid w:val="00F868F5"/>
    <w:rsid w:val="00F9056A"/>
    <w:rsid w:val="00F90791"/>
    <w:rsid w:val="00F9089D"/>
    <w:rsid w:val="00F90B1A"/>
    <w:rsid w:val="00F90F8D"/>
    <w:rsid w:val="00F92782"/>
    <w:rsid w:val="00F92DCF"/>
    <w:rsid w:val="00F93AA9"/>
    <w:rsid w:val="00F94CC0"/>
    <w:rsid w:val="00F951E0"/>
    <w:rsid w:val="00F96985"/>
    <w:rsid w:val="00F97661"/>
    <w:rsid w:val="00F97838"/>
    <w:rsid w:val="00FA012D"/>
    <w:rsid w:val="00FA11DA"/>
    <w:rsid w:val="00FA1A94"/>
    <w:rsid w:val="00FA2BB3"/>
    <w:rsid w:val="00FA36CE"/>
    <w:rsid w:val="00FA5104"/>
    <w:rsid w:val="00FA67F7"/>
    <w:rsid w:val="00FB0CB5"/>
    <w:rsid w:val="00FB1B26"/>
    <w:rsid w:val="00FB3416"/>
    <w:rsid w:val="00FB4436"/>
    <w:rsid w:val="00FB4C80"/>
    <w:rsid w:val="00FB5726"/>
    <w:rsid w:val="00FB5FC3"/>
    <w:rsid w:val="00FB6A6A"/>
    <w:rsid w:val="00FB6D86"/>
    <w:rsid w:val="00FB7A15"/>
    <w:rsid w:val="00FB7A55"/>
    <w:rsid w:val="00FC00F9"/>
    <w:rsid w:val="00FC1681"/>
    <w:rsid w:val="00FC4D76"/>
    <w:rsid w:val="00FC4E78"/>
    <w:rsid w:val="00FC7429"/>
    <w:rsid w:val="00FD07F6"/>
    <w:rsid w:val="00FD1BB8"/>
    <w:rsid w:val="00FD1EC8"/>
    <w:rsid w:val="00FD2F58"/>
    <w:rsid w:val="00FD36A6"/>
    <w:rsid w:val="00FD47ED"/>
    <w:rsid w:val="00FD69C1"/>
    <w:rsid w:val="00FD74DB"/>
    <w:rsid w:val="00FD7660"/>
    <w:rsid w:val="00FE0655"/>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1910728518">
          <w:marLeft w:val="360"/>
          <w:marRight w:val="0"/>
          <w:marTop w:val="2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400249056">
          <w:marLeft w:val="1080"/>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108574042">
          <w:marLeft w:val="360"/>
          <w:marRight w:val="0"/>
          <w:marTop w:val="2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250050557">
          <w:marLeft w:val="1987"/>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9FBBFD9-BA5F-4458-9772-67B4F43AC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19792</TotalTime>
  <Pages>8</Pages>
  <Words>3106</Words>
  <Characters>16463</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19530</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744</cp:revision>
  <cp:lastPrinted>2008-01-31T16:09:00Z</cp:lastPrinted>
  <dcterms:created xsi:type="dcterms:W3CDTF">2021-03-30T17:57:00Z</dcterms:created>
  <dcterms:modified xsi:type="dcterms:W3CDTF">2021-10-02T01:37:00Z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